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 xml:space="preserve">93-ОД от 12.09.2016 </w:t>
            </w:r>
            <w:r w:rsidR="00A86F74" w:rsidRPr="00B9382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F56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4323AB">
        <w:rPr>
          <w:rFonts w:ascii="Times New Roman" w:hAnsi="Times New Roman"/>
          <w:bCs/>
          <w:sz w:val="28"/>
          <w:szCs w:val="28"/>
        </w:rPr>
        <w:t xml:space="preserve"> № 01-ж/о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D164EC" w:rsidRPr="00D164EC" w:rsidRDefault="007169A8" w:rsidP="00D164EC">
      <w:pPr>
        <w:autoSpaceDE w:val="0"/>
        <w:autoSpaceDN w:val="0"/>
        <w:adjustRightInd w:val="0"/>
        <w:spacing w:before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</w:t>
      </w:r>
      <w:r w:rsidR="00D164EC" w:rsidRPr="00D16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казание услуг по осуществлению строительного контроля.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F81B05">
        <w:rPr>
          <w:rFonts w:ascii="Times New Roman" w:hAnsi="Times New Roman"/>
          <w:bCs/>
          <w:sz w:val="28"/>
          <w:szCs w:val="28"/>
        </w:rPr>
        <w:t>г.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адрес: 214038, Смоленская область, г. Смоленск, ул. Кловская,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>. Смоленск, ул. Кловская, д. 13</w:t>
      </w:r>
      <w:r>
        <w:rPr>
          <w:rFonts w:ascii="Times New Roman" w:eastAsia="Calibri" w:hAnsi="Times New Roman"/>
          <w:sz w:val="28"/>
          <w:szCs w:val="28"/>
        </w:rPr>
        <w:t xml:space="preserve">, каб.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A2F" w:rsidRDefault="00C83A2F" w:rsidP="00E159BA">
      <w:pPr>
        <w:spacing w:before="0"/>
      </w:pPr>
      <w:r>
        <w:separator/>
      </w:r>
    </w:p>
  </w:endnote>
  <w:endnote w:type="continuationSeparator" w:id="1">
    <w:p w:rsidR="00C83A2F" w:rsidRDefault="00C83A2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E448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A2F" w:rsidRDefault="00C83A2F" w:rsidP="00E159BA">
      <w:pPr>
        <w:spacing w:before="0"/>
      </w:pPr>
      <w:r>
        <w:separator/>
      </w:r>
    </w:p>
  </w:footnote>
  <w:footnote w:type="continuationSeparator" w:id="1">
    <w:p w:rsidR="00C83A2F" w:rsidRDefault="00C83A2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E448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169A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11FEE"/>
    <w:rsid w:val="00023C21"/>
    <w:rsid w:val="00026016"/>
    <w:rsid w:val="00027917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2830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5B7A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7724A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23AB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169A8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8796C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5B8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7CF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5002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3A2F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4488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64E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2CA8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56913"/>
    <w:rsid w:val="00F778D9"/>
    <w:rsid w:val="00F81B05"/>
    <w:rsid w:val="00FA17F3"/>
    <w:rsid w:val="00FA4DF5"/>
    <w:rsid w:val="00FA64B0"/>
    <w:rsid w:val="00FB0904"/>
    <w:rsid w:val="00FB6C5D"/>
    <w:rsid w:val="00FB7AD0"/>
    <w:rsid w:val="00FB7B7D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7</cp:revision>
  <cp:lastPrinted>2016-09-13T09:59:00Z</cp:lastPrinted>
  <dcterms:created xsi:type="dcterms:W3CDTF">2016-09-13T12:51:00Z</dcterms:created>
  <dcterms:modified xsi:type="dcterms:W3CDTF">2016-09-14T08:02:00Z</dcterms:modified>
</cp:coreProperties>
</file>