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486AD5">
        <w:rPr>
          <w:rFonts w:ascii="Times New Roman" w:hAnsi="Times New Roman"/>
          <w:bCs/>
          <w:sz w:val="28"/>
          <w:szCs w:val="28"/>
        </w:rPr>
        <w:t>23.05.2023</w:t>
      </w:r>
      <w:r w:rsidR="00486AD5">
        <w:rPr>
          <w:rFonts w:ascii="Times New Roman" w:hAnsi="Times New Roman"/>
          <w:b/>
          <w:bCs/>
          <w:sz w:val="28"/>
          <w:szCs w:val="28"/>
        </w:rPr>
        <w:t xml:space="preserve"> </w:t>
      </w:r>
      <w:r w:rsidR="00486AD5">
        <w:rPr>
          <w:rFonts w:ascii="Times New Roman" w:hAnsi="Times New Roman"/>
          <w:bCs/>
          <w:sz w:val="28"/>
          <w:szCs w:val="28"/>
        </w:rPr>
        <w:t>№ 23-г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C442D4" w:rsidRDefault="00A3382A" w:rsidP="00C442D4">
      <w:pPr>
        <w:pStyle w:val="a4"/>
        <w:numPr>
          <w:ilvl w:val="0"/>
          <w:numId w:val="4"/>
        </w:numPr>
        <w:tabs>
          <w:tab w:val="left" w:pos="426"/>
          <w:tab w:val="left" w:pos="3060"/>
        </w:tabs>
        <w:spacing w:after="0" w:line="240" w:lineRule="auto"/>
        <w:ind w:left="0" w:right="2" w:firstLine="0"/>
        <w:jc w:val="both"/>
        <w:rPr>
          <w:rFonts w:ascii="Times New Roman" w:hAnsi="Times New Roman"/>
          <w:b/>
          <w:bCs/>
          <w:sz w:val="28"/>
          <w:szCs w:val="28"/>
        </w:rPr>
      </w:pPr>
      <w:r w:rsidRPr="00C442D4">
        <w:rPr>
          <w:rFonts w:ascii="Times New Roman" w:hAnsi="Times New Roman"/>
          <w:b/>
          <w:bCs/>
          <w:sz w:val="28"/>
          <w:szCs w:val="28"/>
        </w:rPr>
        <w:t xml:space="preserve">Информация об </w:t>
      </w:r>
      <w:r w:rsidR="002347E2" w:rsidRPr="00C442D4">
        <w:rPr>
          <w:rFonts w:ascii="Times New Roman" w:hAnsi="Times New Roman"/>
          <w:b/>
          <w:bCs/>
          <w:sz w:val="28"/>
          <w:szCs w:val="28"/>
        </w:rPr>
        <w:t>оператор</w:t>
      </w:r>
      <w:r w:rsidRPr="00C442D4">
        <w:rPr>
          <w:rFonts w:ascii="Times New Roman" w:hAnsi="Times New Roman"/>
          <w:b/>
          <w:bCs/>
          <w:sz w:val="28"/>
          <w:szCs w:val="28"/>
        </w:rPr>
        <w:t>е электронной площадки:</w:t>
      </w:r>
    </w:p>
    <w:p w:rsidR="00BF4269" w:rsidRPr="008B39DA" w:rsidRDefault="00C442D4" w:rsidP="00C442D4">
      <w:pPr>
        <w:pStyle w:val="a4"/>
        <w:tabs>
          <w:tab w:val="left" w:pos="426"/>
          <w:tab w:val="left" w:pos="3060"/>
        </w:tabs>
        <w:ind w:left="0" w:right="2"/>
        <w:jc w:val="both"/>
        <w:rPr>
          <w:rFonts w:ascii="Times New Roman" w:hAnsi="Times New Roman"/>
          <w:bCs/>
          <w:sz w:val="28"/>
          <w:szCs w:val="28"/>
        </w:rPr>
      </w:pPr>
      <w:r>
        <w:rPr>
          <w:rFonts w:ascii="Times New Roman" w:hAnsi="Times New Roman"/>
          <w:bCs/>
          <w:sz w:val="28"/>
          <w:szCs w:val="28"/>
        </w:rPr>
        <w:tab/>
      </w:r>
      <w:r w:rsidR="00A3382A"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C442D4" w:rsidP="00C442D4">
      <w:pPr>
        <w:pStyle w:val="a4"/>
        <w:tabs>
          <w:tab w:val="left" w:pos="426"/>
          <w:tab w:val="left" w:pos="3060"/>
        </w:tabs>
        <w:ind w:left="0" w:right="2"/>
        <w:jc w:val="both"/>
        <w:rPr>
          <w:rFonts w:ascii="Times New Roman" w:hAnsi="Times New Roman"/>
          <w:bCs/>
          <w:sz w:val="28"/>
          <w:szCs w:val="28"/>
          <w:u w:val="single"/>
        </w:rPr>
      </w:pPr>
      <w:r>
        <w:rPr>
          <w:rFonts w:ascii="Times New Roman" w:hAnsi="Times New Roman"/>
          <w:bCs/>
          <w:sz w:val="28"/>
          <w:szCs w:val="28"/>
        </w:rPr>
        <w:tab/>
      </w:r>
      <w:r w:rsidR="00A3382A"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00A3382A"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C442D4" w:rsidRDefault="00C442D4" w:rsidP="00C442D4">
      <w:pPr>
        <w:pStyle w:val="a4"/>
        <w:numPr>
          <w:ilvl w:val="0"/>
          <w:numId w:val="4"/>
        </w:numPr>
        <w:tabs>
          <w:tab w:val="left" w:pos="426"/>
          <w:tab w:val="left" w:pos="851"/>
        </w:tabs>
        <w:spacing w:after="0" w:line="240" w:lineRule="auto"/>
        <w:ind w:left="0" w:right="2" w:firstLine="0"/>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C442D4" w:rsidRDefault="00C442D4" w:rsidP="00C442D4">
      <w:pPr>
        <w:pStyle w:val="a4"/>
        <w:tabs>
          <w:tab w:val="left" w:pos="426"/>
          <w:tab w:val="left" w:pos="3060"/>
        </w:tabs>
        <w:ind w:left="0" w:right="2"/>
        <w:rPr>
          <w:rFonts w:ascii="Times New Roman" w:hAnsi="Times New Roman"/>
          <w:bCs/>
          <w:sz w:val="28"/>
          <w:szCs w:val="28"/>
        </w:rPr>
      </w:pPr>
      <w:r>
        <w:rPr>
          <w:rFonts w:ascii="Times New Roman" w:hAnsi="Times New Roman"/>
          <w:bCs/>
          <w:sz w:val="28"/>
          <w:szCs w:val="28"/>
        </w:rPr>
        <w:tab/>
        <w:t>«</w:t>
      </w:r>
      <w:r w:rsidR="00486AD5">
        <w:rPr>
          <w:rFonts w:ascii="Times New Roman" w:hAnsi="Times New Roman"/>
          <w:bCs/>
          <w:sz w:val="28"/>
          <w:szCs w:val="28"/>
        </w:rPr>
        <w:t>2</w:t>
      </w:r>
      <w:r w:rsidR="009B234D">
        <w:rPr>
          <w:rFonts w:ascii="Times New Roman" w:hAnsi="Times New Roman"/>
          <w:bCs/>
          <w:sz w:val="28"/>
          <w:szCs w:val="28"/>
        </w:rPr>
        <w:t>7</w:t>
      </w:r>
      <w:r>
        <w:rPr>
          <w:rFonts w:ascii="Times New Roman" w:hAnsi="Times New Roman"/>
          <w:bCs/>
          <w:sz w:val="28"/>
          <w:szCs w:val="28"/>
        </w:rPr>
        <w:t xml:space="preserve">» </w:t>
      </w:r>
      <w:r w:rsidR="009B234D">
        <w:rPr>
          <w:rFonts w:ascii="Times New Roman" w:hAnsi="Times New Roman"/>
          <w:bCs/>
          <w:sz w:val="28"/>
          <w:szCs w:val="28"/>
        </w:rPr>
        <w:t xml:space="preserve">сентября </w:t>
      </w:r>
      <w:r>
        <w:rPr>
          <w:rFonts w:ascii="Times New Roman" w:hAnsi="Times New Roman"/>
          <w:bCs/>
          <w:sz w:val="28"/>
          <w:szCs w:val="28"/>
        </w:rPr>
        <w:t>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C442D4" w:rsidRDefault="00C442D4" w:rsidP="00C442D4">
      <w:pPr>
        <w:pStyle w:val="a4"/>
        <w:tabs>
          <w:tab w:val="left" w:pos="426"/>
          <w:tab w:val="left" w:pos="3060"/>
        </w:tabs>
        <w:ind w:left="0" w:right="2"/>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9B234D">
        <w:rPr>
          <w:rFonts w:ascii="Times New Roman" w:hAnsi="Times New Roman"/>
          <w:bCs/>
          <w:sz w:val="28"/>
          <w:szCs w:val="28"/>
        </w:rPr>
        <w:t>17</w:t>
      </w:r>
      <w:r>
        <w:rPr>
          <w:rFonts w:ascii="Times New Roman" w:hAnsi="Times New Roman"/>
          <w:bCs/>
          <w:sz w:val="28"/>
          <w:szCs w:val="28"/>
        </w:rPr>
        <w:t xml:space="preserve">» </w:t>
      </w:r>
      <w:r w:rsidR="009B234D">
        <w:rPr>
          <w:rFonts w:ascii="Times New Roman" w:hAnsi="Times New Roman"/>
          <w:bCs/>
          <w:sz w:val="28"/>
          <w:szCs w:val="28"/>
        </w:rPr>
        <w:t>октября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C442D4" w:rsidRDefault="00C442D4" w:rsidP="006534CD">
      <w:pPr>
        <w:pStyle w:val="a4"/>
        <w:tabs>
          <w:tab w:val="left" w:pos="426"/>
          <w:tab w:val="left" w:pos="3060"/>
        </w:tabs>
        <w:ind w:left="426" w:right="2" w:hanging="426"/>
        <w:rPr>
          <w:rFonts w:ascii="Times New Roman" w:hAnsi="Times New Roman"/>
          <w:bCs/>
          <w:sz w:val="28"/>
          <w:szCs w:val="28"/>
        </w:rPr>
      </w:pPr>
    </w:p>
    <w:p w:rsidR="00C442D4" w:rsidRDefault="00C442D4" w:rsidP="006534CD">
      <w:pPr>
        <w:pStyle w:val="a4"/>
        <w:numPr>
          <w:ilvl w:val="0"/>
          <w:numId w:val="4"/>
        </w:numPr>
        <w:tabs>
          <w:tab w:val="left" w:pos="426"/>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C442D4" w:rsidRDefault="00C442D4" w:rsidP="006534CD">
      <w:pPr>
        <w:pStyle w:val="a4"/>
        <w:tabs>
          <w:tab w:val="left" w:pos="426"/>
          <w:tab w:val="left" w:pos="3060"/>
        </w:tabs>
        <w:ind w:left="426" w:right="2" w:hanging="426"/>
        <w:rPr>
          <w:rFonts w:ascii="Times New Roman" w:hAnsi="Times New Roman"/>
          <w:bCs/>
          <w:sz w:val="28"/>
          <w:szCs w:val="28"/>
        </w:rPr>
      </w:pPr>
      <w:r>
        <w:rPr>
          <w:rFonts w:ascii="Times New Roman" w:hAnsi="Times New Roman"/>
          <w:bCs/>
          <w:sz w:val="28"/>
          <w:szCs w:val="28"/>
        </w:rPr>
        <w:tab/>
        <w:t>«</w:t>
      </w:r>
      <w:r w:rsidR="009B234D">
        <w:rPr>
          <w:rFonts w:ascii="Times New Roman" w:hAnsi="Times New Roman"/>
          <w:bCs/>
          <w:sz w:val="28"/>
          <w:szCs w:val="28"/>
        </w:rPr>
        <w:t>31</w:t>
      </w:r>
      <w:r>
        <w:rPr>
          <w:rFonts w:ascii="Times New Roman" w:hAnsi="Times New Roman"/>
          <w:bCs/>
          <w:sz w:val="28"/>
          <w:szCs w:val="28"/>
        </w:rPr>
        <w:t xml:space="preserve">» </w:t>
      </w:r>
      <w:r w:rsidR="009B234D">
        <w:rPr>
          <w:rFonts w:ascii="Times New Roman" w:hAnsi="Times New Roman"/>
          <w:bCs/>
          <w:sz w:val="28"/>
          <w:szCs w:val="28"/>
        </w:rPr>
        <w:t>октября</w:t>
      </w:r>
      <w:r>
        <w:rPr>
          <w:rFonts w:ascii="Times New Roman" w:hAnsi="Times New Roman"/>
          <w:bCs/>
          <w:sz w:val="28"/>
          <w:szCs w:val="28"/>
        </w:rPr>
        <w:t xml:space="preserve"> 202</w:t>
      </w:r>
      <w:r w:rsidR="00347E18">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8B39DA" w:rsidRDefault="00C1562D" w:rsidP="006534CD">
      <w:pPr>
        <w:tabs>
          <w:tab w:val="left" w:pos="3060"/>
        </w:tabs>
        <w:spacing w:after="0" w:line="240" w:lineRule="auto"/>
        <w:ind w:left="426" w:right="2" w:hanging="426"/>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6534CD" w:rsidP="006534CD">
      <w:pPr>
        <w:tabs>
          <w:tab w:val="left" w:pos="3060"/>
        </w:tabs>
        <w:spacing w:after="0" w:line="240" w:lineRule="auto"/>
        <w:ind w:left="426" w:right="2" w:hanging="426"/>
        <w:jc w:val="both"/>
        <w:rPr>
          <w:rFonts w:ascii="Times New Roman" w:hAnsi="Times New Roman"/>
          <w:b/>
          <w:bCs/>
          <w:sz w:val="28"/>
          <w:szCs w:val="28"/>
        </w:rPr>
      </w:pPr>
      <w:r>
        <w:rPr>
          <w:rFonts w:ascii="Times New Roman" w:eastAsia="Calibri" w:hAnsi="Times New Roman"/>
          <w:sz w:val="28"/>
          <w:szCs w:val="28"/>
        </w:rPr>
        <w:tab/>
      </w:r>
      <w:r w:rsidR="00CB4325"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00CB4325"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6534CD">
      <w:pPr>
        <w:tabs>
          <w:tab w:val="left" w:pos="3060"/>
        </w:tabs>
        <w:spacing w:after="0" w:line="240" w:lineRule="auto"/>
        <w:ind w:left="426" w:right="2" w:hanging="426"/>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w:t>
            </w:r>
            <w:r w:rsidRPr="008B39DA">
              <w:rPr>
                <w:rFonts w:ascii="Times New Roman" w:hAnsi="Times New Roman" w:cs="Times New Roman"/>
                <w:sz w:val="24"/>
                <w:szCs w:val="24"/>
              </w:rPr>
              <w:lastRenderedPageBreak/>
              <w:t>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Место оказания услуг и(или) </w:t>
            </w:r>
            <w:r w:rsidRPr="008B39DA">
              <w:rPr>
                <w:rStyle w:val="a9"/>
                <w:rFonts w:ascii="Times New Roman" w:hAnsi="Times New Roman" w:cs="Times New Roman"/>
                <w:sz w:val="24"/>
                <w:szCs w:val="24"/>
              </w:rPr>
              <w:lastRenderedPageBreak/>
              <w:t>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 xml:space="preserve">Место оказания услуг и(или) выполнения работ устанавливается Заказчиком в документации о проведении электронного аукциона в </w:t>
            </w:r>
            <w:r w:rsidRPr="008B39DA">
              <w:rPr>
                <w:rStyle w:val="a9"/>
                <w:rFonts w:ascii="Times New Roman" w:hAnsi="Times New Roman" w:cs="Times New Roman"/>
                <w:sz w:val="24"/>
                <w:szCs w:val="24"/>
              </w:rPr>
              <w:lastRenderedPageBreak/>
              <w:t>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Обеспечение 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1. Исполнение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w:t>
            </w:r>
            <w:r w:rsidRPr="008B39DA">
              <w:rPr>
                <w:rFonts w:ascii="Times New Roman" w:hAnsi="Times New Roman" w:cs="Times New Roman"/>
                <w:sz w:val="24"/>
                <w:szCs w:val="24"/>
              </w:rPr>
              <w:lastRenderedPageBreak/>
              <w:t xml:space="preserve">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w:t>
            </w:r>
            <w:r w:rsidRPr="008B39DA">
              <w:rPr>
                <w:rFonts w:ascii="Times New Roman" w:hAnsi="Times New Roman" w:cs="Times New Roman"/>
                <w:sz w:val="24"/>
                <w:szCs w:val="24"/>
              </w:rPr>
              <w:lastRenderedPageBreak/>
              <w:t>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w:t>
      </w:r>
      <w:r w:rsidR="006461C0" w:rsidRPr="008B39DA">
        <w:rPr>
          <w:rFonts w:ascii="Times New Roman" w:hAnsi="Times New Roman" w:cs="Times New Roman"/>
          <w:sz w:val="28"/>
          <w:szCs w:val="28"/>
        </w:rPr>
        <w:lastRenderedPageBreak/>
        <w:t>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 xml:space="preserve">юридического лица уголовного наказания в виде лишения </w:t>
      </w:r>
      <w:r w:rsidR="00DD24E1" w:rsidRPr="008B39DA">
        <w:rPr>
          <w:rFonts w:ascii="Times New Roman" w:hAnsi="Times New Roman" w:cs="Times New Roman"/>
          <w:sz w:val="28"/>
          <w:szCs w:val="28"/>
        </w:rPr>
        <w:lastRenderedPageBreak/>
        <w:t>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w:t>
      </w:r>
      <w:r w:rsidRPr="003B0055">
        <w:rPr>
          <w:rFonts w:ascii="Times New Roman" w:hAnsi="Times New Roman" w:cs="Times New Roman"/>
          <w:sz w:val="28"/>
          <w:szCs w:val="28"/>
        </w:rPr>
        <w:lastRenderedPageBreak/>
        <w:t>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lastRenderedPageBreak/>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извещение и (или) в документацию о 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должны быть рассмотрены Комиссией до установленной в </w:t>
      </w:r>
      <w:r w:rsidRPr="008B39DA">
        <w:rPr>
          <w:rFonts w:ascii="Times New Roman" w:hAnsi="Times New Roman" w:cs="Times New Roman"/>
          <w:sz w:val="28"/>
          <w:szCs w:val="28"/>
        </w:rPr>
        <w:lastRenderedPageBreak/>
        <w:t>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563" w:rsidRDefault="00F54563" w:rsidP="009E4821">
      <w:pPr>
        <w:spacing w:after="0" w:line="240" w:lineRule="auto"/>
      </w:pPr>
      <w:r>
        <w:separator/>
      </w:r>
    </w:p>
  </w:endnote>
  <w:endnote w:type="continuationSeparator" w:id="1">
    <w:p w:rsidR="00F54563" w:rsidRDefault="00F5456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563" w:rsidRDefault="00F54563" w:rsidP="009E4821">
      <w:pPr>
        <w:spacing w:after="0" w:line="240" w:lineRule="auto"/>
      </w:pPr>
      <w:r>
        <w:separator/>
      </w:r>
    </w:p>
  </w:footnote>
  <w:footnote w:type="continuationSeparator" w:id="1">
    <w:p w:rsidR="00F54563" w:rsidRDefault="00F54563"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0D318C">
        <w:pPr>
          <w:pStyle w:val="af8"/>
          <w:jc w:val="center"/>
        </w:pPr>
        <w:fldSimple w:instr="PAGE   \* MERGEFORMAT">
          <w:r w:rsidR="009B234D">
            <w:rPr>
              <w:noProof/>
            </w:rPr>
            <w:t>4</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0194"/>
    <w:rsid w:val="000A6649"/>
    <w:rsid w:val="000B03A3"/>
    <w:rsid w:val="000B555C"/>
    <w:rsid w:val="000B589E"/>
    <w:rsid w:val="000B6D93"/>
    <w:rsid w:val="000C1235"/>
    <w:rsid w:val="000C40E0"/>
    <w:rsid w:val="000C7EC1"/>
    <w:rsid w:val="000D2DFB"/>
    <w:rsid w:val="000D318C"/>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4760E"/>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5220"/>
    <w:rsid w:val="00347468"/>
    <w:rsid w:val="00347876"/>
    <w:rsid w:val="00347E18"/>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86AD5"/>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0BE"/>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34CD"/>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C3730"/>
    <w:rsid w:val="006D0F6C"/>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257E9"/>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015E"/>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234D"/>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06D3"/>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4407D"/>
    <w:rsid w:val="00C442D4"/>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44D71"/>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4563"/>
    <w:rsid w:val="00F561B1"/>
    <w:rsid w:val="00F5660B"/>
    <w:rsid w:val="00F6275E"/>
    <w:rsid w:val="00F62B79"/>
    <w:rsid w:val="00F64B45"/>
    <w:rsid w:val="00F725BC"/>
    <w:rsid w:val="00F7675D"/>
    <w:rsid w:val="00F81FD4"/>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188761240">
      <w:bodyDiv w:val="1"/>
      <w:marLeft w:val="0"/>
      <w:marRight w:val="0"/>
      <w:marTop w:val="0"/>
      <w:marBottom w:val="0"/>
      <w:divBdr>
        <w:top w:val="none" w:sz="0" w:space="0" w:color="auto"/>
        <w:left w:val="none" w:sz="0" w:space="0" w:color="auto"/>
        <w:bottom w:val="none" w:sz="0" w:space="0" w:color="auto"/>
        <w:right w:val="none" w:sz="0" w:space="0" w:color="auto"/>
      </w:divBdr>
    </w:div>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9167</Words>
  <Characters>52255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2017-11-15T11:52:00Z</cp:lastPrinted>
  <dcterms:created xsi:type="dcterms:W3CDTF">2023-09-26T13:03:00Z</dcterms:created>
  <dcterms:modified xsi:type="dcterms:W3CDTF">2023-09-26T13:04:00Z</dcterms:modified>
</cp:coreProperties>
</file>