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6F0506">
        <w:rPr>
          <w:rFonts w:ascii="Times New Roman" w:hAnsi="Times New Roman"/>
          <w:b/>
          <w:bCs/>
          <w:sz w:val="28"/>
          <w:szCs w:val="28"/>
        </w:rPr>
        <w:t xml:space="preserve"> </w:t>
      </w:r>
      <w:r w:rsidR="007B089C">
        <w:rPr>
          <w:rFonts w:ascii="Times New Roman" w:hAnsi="Times New Roman"/>
          <w:bCs/>
          <w:sz w:val="28"/>
          <w:szCs w:val="28"/>
        </w:rPr>
        <w:t>04</w:t>
      </w:r>
      <w:r w:rsidR="009F437C">
        <w:rPr>
          <w:rFonts w:ascii="Times New Roman" w:hAnsi="Times New Roman"/>
          <w:bCs/>
          <w:sz w:val="28"/>
          <w:szCs w:val="28"/>
        </w:rPr>
        <w:t>.</w:t>
      </w:r>
      <w:r w:rsidR="007B089C">
        <w:rPr>
          <w:rFonts w:ascii="Times New Roman" w:hAnsi="Times New Roman"/>
          <w:bCs/>
          <w:sz w:val="28"/>
          <w:szCs w:val="28"/>
        </w:rPr>
        <w:t>10</w:t>
      </w:r>
      <w:r w:rsidR="006F0506" w:rsidRPr="006F0506">
        <w:rPr>
          <w:rFonts w:ascii="Times New Roman" w:hAnsi="Times New Roman"/>
          <w:bCs/>
          <w:sz w:val="28"/>
          <w:szCs w:val="28"/>
        </w:rPr>
        <w:t>.202</w:t>
      </w:r>
      <w:r w:rsidR="00400453">
        <w:rPr>
          <w:rFonts w:ascii="Times New Roman" w:hAnsi="Times New Roman"/>
          <w:bCs/>
          <w:sz w:val="28"/>
          <w:szCs w:val="28"/>
        </w:rPr>
        <w:t>2</w:t>
      </w:r>
      <w:r w:rsidR="005F1DD5">
        <w:rPr>
          <w:rFonts w:ascii="Times New Roman" w:hAnsi="Times New Roman"/>
          <w:b/>
          <w:bCs/>
          <w:sz w:val="28"/>
          <w:szCs w:val="28"/>
        </w:rPr>
        <w:t xml:space="preserve"> </w:t>
      </w:r>
      <w:r w:rsidR="005F1DD5">
        <w:rPr>
          <w:rFonts w:ascii="Times New Roman" w:hAnsi="Times New Roman"/>
          <w:bCs/>
          <w:sz w:val="28"/>
          <w:szCs w:val="28"/>
        </w:rPr>
        <w:t xml:space="preserve">№ </w:t>
      </w:r>
      <w:r w:rsidR="008144C6">
        <w:rPr>
          <w:rFonts w:ascii="Times New Roman" w:hAnsi="Times New Roman"/>
          <w:bCs/>
          <w:sz w:val="28"/>
          <w:szCs w:val="28"/>
        </w:rPr>
        <w:t>2</w:t>
      </w:r>
      <w:r w:rsidR="007B089C">
        <w:rPr>
          <w:rFonts w:ascii="Times New Roman" w:hAnsi="Times New Roman"/>
          <w:bCs/>
          <w:sz w:val="28"/>
          <w:szCs w:val="28"/>
        </w:rPr>
        <w:t>1</w:t>
      </w:r>
      <w:r w:rsidR="005F1DD5">
        <w:rPr>
          <w:rFonts w:ascii="Times New Roman" w:hAnsi="Times New Roman"/>
          <w:bCs/>
          <w:sz w:val="28"/>
          <w:szCs w:val="28"/>
        </w:rPr>
        <w:t>-ж.</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4E450D"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e</w:t>
      </w:r>
      <w:r w:rsidRPr="004E450D">
        <w:rPr>
          <w:rFonts w:ascii="Times New Roman" w:hAnsi="Times New Roman" w:cs="Times New Roman"/>
          <w:bCs/>
          <w:sz w:val="28"/>
          <w:szCs w:val="28"/>
          <w:lang w:val="en-US"/>
        </w:rPr>
        <w:t>-</w:t>
      </w:r>
      <w:r w:rsidRPr="00EA6364">
        <w:rPr>
          <w:rFonts w:ascii="Times New Roman" w:hAnsi="Times New Roman" w:cs="Times New Roman"/>
          <w:bCs/>
          <w:sz w:val="28"/>
          <w:szCs w:val="28"/>
          <w:lang w:val="en-US"/>
        </w:rPr>
        <w:t>mail</w:t>
      </w:r>
      <w:r w:rsidRPr="004E450D">
        <w:rPr>
          <w:rFonts w:ascii="Times New Roman" w:hAnsi="Times New Roman" w:cs="Times New Roman"/>
          <w:bCs/>
          <w:sz w:val="28"/>
          <w:szCs w:val="28"/>
          <w:lang w:val="en-US"/>
        </w:rPr>
        <w:t xml:space="preserve">: </w:t>
      </w:r>
      <w:hyperlink r:id="rId9" w:history="1">
        <w:r w:rsidRPr="00EA6364">
          <w:rPr>
            <w:rStyle w:val="a5"/>
            <w:rFonts w:ascii="Times New Roman" w:hAnsi="Times New Roman" w:cs="Times New Roman"/>
            <w:color w:val="auto"/>
            <w:sz w:val="28"/>
            <w:szCs w:val="28"/>
            <w:lang w:val="en-US"/>
          </w:rPr>
          <w:t>fkremont</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admin</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smolensk</w:t>
        </w:r>
        <w:r w:rsidRPr="004E450D">
          <w:rPr>
            <w:rStyle w:val="a5"/>
            <w:rFonts w:ascii="Times New Roman" w:hAnsi="Times New Roman" w:cs="Times New Roman"/>
            <w:color w:val="auto"/>
            <w:sz w:val="28"/>
            <w:szCs w:val="28"/>
            <w:lang w:val="en-US"/>
          </w:rPr>
          <w:t>.</w:t>
        </w:r>
        <w:r w:rsidRPr="00EA6364">
          <w:rPr>
            <w:rStyle w:val="a5"/>
            <w:rFonts w:ascii="Times New Roman" w:hAnsi="Times New Roman" w:cs="Times New Roman"/>
            <w:color w:val="auto"/>
            <w:sz w:val="28"/>
            <w:szCs w:val="28"/>
            <w:lang w:val="en-US"/>
          </w:rPr>
          <w:t>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374B51" w:rsidRDefault="00374B51" w:rsidP="007B089C">
      <w:pPr>
        <w:tabs>
          <w:tab w:val="left" w:pos="3060"/>
        </w:tabs>
        <w:spacing w:after="0" w:line="240" w:lineRule="auto"/>
        <w:jc w:val="both"/>
        <w:rPr>
          <w:rFonts w:ascii="Times New Roman" w:hAnsi="Times New Roman"/>
          <w:bCs/>
          <w:sz w:val="28"/>
          <w:szCs w:val="28"/>
        </w:rPr>
      </w:pPr>
      <w:r>
        <w:rPr>
          <w:rFonts w:ascii="Times New Roman" w:hAnsi="Times New Roman"/>
          <w:b/>
          <w:bCs/>
          <w:sz w:val="28"/>
          <w:szCs w:val="28"/>
        </w:rPr>
        <w:t xml:space="preserve">7. Дата и время начала срока подачи заявок на участие в предварительном отборе (далее – Заявка): </w:t>
      </w:r>
    </w:p>
    <w:p w:rsidR="007B089C" w:rsidRDefault="007B089C" w:rsidP="007B089C">
      <w:pPr>
        <w:pStyle w:val="a4"/>
        <w:tabs>
          <w:tab w:val="left" w:pos="3060"/>
        </w:tabs>
        <w:spacing w:after="0" w:line="240" w:lineRule="auto"/>
        <w:ind w:left="0" w:firstLine="426"/>
        <w:rPr>
          <w:rFonts w:ascii="Times New Roman" w:hAnsi="Times New Roman"/>
          <w:bCs/>
          <w:sz w:val="28"/>
          <w:szCs w:val="28"/>
        </w:rPr>
      </w:pPr>
      <w:r>
        <w:rPr>
          <w:rFonts w:ascii="Times New Roman" w:hAnsi="Times New Roman"/>
          <w:bCs/>
          <w:sz w:val="28"/>
          <w:szCs w:val="28"/>
        </w:rPr>
        <w:t xml:space="preserve">«05» октября 2022 года 09 часов 00 минут (время московское). </w:t>
      </w:r>
    </w:p>
    <w:p w:rsidR="007B089C" w:rsidRDefault="007B089C" w:rsidP="007B089C">
      <w:pPr>
        <w:pStyle w:val="a4"/>
        <w:tabs>
          <w:tab w:val="left" w:pos="3060"/>
        </w:tabs>
        <w:spacing w:after="0" w:line="240" w:lineRule="auto"/>
        <w:ind w:left="0" w:firstLine="426"/>
        <w:rPr>
          <w:rFonts w:ascii="Times New Roman" w:hAnsi="Times New Roman"/>
          <w:bCs/>
          <w:sz w:val="28"/>
          <w:szCs w:val="28"/>
        </w:rPr>
      </w:pPr>
    </w:p>
    <w:p w:rsidR="007B089C" w:rsidRDefault="007B089C" w:rsidP="007B089C">
      <w:pPr>
        <w:pStyle w:val="a4"/>
        <w:numPr>
          <w:ilvl w:val="0"/>
          <w:numId w:val="47"/>
        </w:numPr>
        <w:tabs>
          <w:tab w:val="left" w:pos="426"/>
          <w:tab w:val="left" w:pos="3060"/>
        </w:tabs>
        <w:spacing w:after="0" w:line="240" w:lineRule="auto"/>
        <w:ind w:left="0" w:firstLine="0"/>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7B089C" w:rsidRDefault="007B089C" w:rsidP="007B089C">
      <w:pPr>
        <w:pStyle w:val="a4"/>
        <w:tabs>
          <w:tab w:val="left" w:pos="426"/>
          <w:tab w:val="left" w:pos="3060"/>
        </w:tabs>
        <w:spacing w:after="0" w:line="240" w:lineRule="auto"/>
        <w:ind w:left="0"/>
        <w:rPr>
          <w:rFonts w:ascii="Times New Roman" w:hAnsi="Times New Roman"/>
          <w:bCs/>
          <w:sz w:val="28"/>
          <w:szCs w:val="28"/>
        </w:rPr>
      </w:pPr>
      <w:r>
        <w:rPr>
          <w:rFonts w:ascii="Times New Roman" w:hAnsi="Times New Roman"/>
          <w:bCs/>
          <w:sz w:val="28"/>
          <w:szCs w:val="28"/>
        </w:rPr>
        <w:t>«25» октября 2022 года 09 часов 00 минут (время московское).</w:t>
      </w:r>
    </w:p>
    <w:p w:rsidR="007B089C" w:rsidRDefault="007B089C" w:rsidP="007B089C">
      <w:pPr>
        <w:pStyle w:val="a4"/>
        <w:tabs>
          <w:tab w:val="left" w:pos="426"/>
          <w:tab w:val="left" w:pos="3060"/>
        </w:tabs>
        <w:spacing w:after="0" w:line="240" w:lineRule="auto"/>
        <w:ind w:left="0"/>
        <w:rPr>
          <w:rFonts w:ascii="Times New Roman" w:hAnsi="Times New Roman"/>
          <w:bCs/>
          <w:sz w:val="28"/>
          <w:szCs w:val="28"/>
        </w:rPr>
      </w:pPr>
    </w:p>
    <w:p w:rsidR="007B089C" w:rsidRDefault="007B089C" w:rsidP="007B089C">
      <w:pPr>
        <w:pStyle w:val="a4"/>
        <w:numPr>
          <w:ilvl w:val="0"/>
          <w:numId w:val="47"/>
        </w:numPr>
        <w:tabs>
          <w:tab w:val="left" w:pos="426"/>
          <w:tab w:val="left" w:pos="3060"/>
        </w:tabs>
        <w:spacing w:after="0" w:line="240" w:lineRule="auto"/>
        <w:ind w:left="0" w:firstLine="0"/>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7B089C" w:rsidRDefault="007B089C" w:rsidP="007B089C">
      <w:pPr>
        <w:pStyle w:val="a4"/>
        <w:tabs>
          <w:tab w:val="left" w:pos="426"/>
          <w:tab w:val="left" w:pos="3060"/>
        </w:tabs>
        <w:spacing w:after="0" w:line="240" w:lineRule="auto"/>
        <w:ind w:left="0"/>
        <w:rPr>
          <w:rFonts w:ascii="Times New Roman" w:hAnsi="Times New Roman"/>
          <w:bCs/>
          <w:sz w:val="28"/>
          <w:szCs w:val="28"/>
        </w:rPr>
      </w:pPr>
      <w:r>
        <w:rPr>
          <w:rFonts w:ascii="Times New Roman" w:hAnsi="Times New Roman"/>
          <w:bCs/>
          <w:sz w:val="28"/>
          <w:szCs w:val="28"/>
        </w:rPr>
        <w:t>«08» ноября 2022 года 17 часов 00 минут (время московское).</w:t>
      </w:r>
    </w:p>
    <w:p w:rsidR="007B089C" w:rsidRDefault="007B089C" w:rsidP="007B089C">
      <w:pPr>
        <w:pStyle w:val="a4"/>
        <w:tabs>
          <w:tab w:val="left" w:pos="426"/>
          <w:tab w:val="left" w:pos="3060"/>
        </w:tabs>
        <w:spacing w:after="0" w:line="240" w:lineRule="auto"/>
        <w:ind w:left="0"/>
        <w:rPr>
          <w:rFonts w:ascii="Times New Roman" w:hAnsi="Times New Roman"/>
          <w:bCs/>
          <w:sz w:val="28"/>
          <w:szCs w:val="28"/>
        </w:rPr>
      </w:pP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8144C6" w:rsidRDefault="008144C6" w:rsidP="00796484">
      <w:pPr>
        <w:tabs>
          <w:tab w:val="left" w:pos="3060"/>
        </w:tabs>
        <w:spacing w:after="0" w:line="240" w:lineRule="auto"/>
        <w:ind w:right="2"/>
        <w:jc w:val="both"/>
        <w:rPr>
          <w:rFonts w:ascii="Times New Roman" w:hAnsi="Times New Roman"/>
          <w:bCs/>
          <w:sz w:val="28"/>
          <w:szCs w:val="28"/>
        </w:rPr>
      </w:pPr>
    </w:p>
    <w:p w:rsidR="008144C6" w:rsidRPr="00EA6364" w:rsidRDefault="008144C6" w:rsidP="00796484">
      <w:pPr>
        <w:tabs>
          <w:tab w:val="left" w:pos="3060"/>
        </w:tabs>
        <w:spacing w:after="0" w:line="240" w:lineRule="auto"/>
        <w:ind w:right="2"/>
        <w:jc w:val="both"/>
        <w:rPr>
          <w:rFonts w:ascii="Times New Roman" w:hAnsi="Times New Roman"/>
          <w:bCs/>
          <w:sz w:val="24"/>
        </w:rPr>
      </w:pP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7137"/>
      </w:tblGrid>
      <w:tr w:rsidR="00EA6364" w:rsidRPr="00EA6364" w:rsidTr="008A4C0E">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7137"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8A4C0E">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7137"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w:t>
            </w:r>
            <w:r w:rsidRPr="00EA6364">
              <w:rPr>
                <w:rFonts w:ascii="Times New Roman" w:hAnsi="Times New Roman" w:cs="Times New Roman"/>
              </w:rPr>
              <w:lastRenderedPageBreak/>
              <w:t xml:space="preserve">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34" w:type="dxa"/>
        <w:tblLook w:val="04A0"/>
      </w:tblPr>
      <w:tblGrid>
        <w:gridCol w:w="567"/>
        <w:gridCol w:w="2410"/>
        <w:gridCol w:w="7371"/>
      </w:tblGrid>
      <w:tr w:rsidR="00EA6364" w:rsidRPr="00EA6364" w:rsidTr="008A4C0E">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8A4C0E">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Предметом договора о проведении капитального ремонта является оказание услуг по осуществлению строительного контроля. Работы будут выполняться в отношении объектов, указанных в адресном перечне, размещенном на сайте по адресу: fkremont@admin-smolensk.ru</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работ устанавливаются Заказчиком в документации о проведении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оказания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(или) выполнения работ устанавливаются Заказчиком в документации о проведении электронного аукциона.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w:t>
            </w:r>
            <w:r w:rsidR="00CA1EAF">
              <w:rPr>
                <w:rStyle w:val="a9"/>
                <w:rFonts w:ascii="Times New Roman" w:hAnsi="Times New Roman" w:cs="Times New Roman"/>
                <w:sz w:val="24"/>
                <w:szCs w:val="24"/>
              </w:rPr>
              <w:t xml:space="preserve"> </w:t>
            </w:r>
            <w:r w:rsidRPr="00EA6364">
              <w:rPr>
                <w:rStyle w:val="a9"/>
                <w:rFonts w:ascii="Times New Roman" w:hAnsi="Times New Roman" w:cs="Times New Roman"/>
                <w:sz w:val="24"/>
                <w:szCs w:val="24"/>
              </w:rPr>
              <w:t xml:space="preserve">(или) </w:t>
            </w:r>
            <w:r w:rsidRPr="00EA6364">
              <w:rPr>
                <w:rStyle w:val="a9"/>
                <w:rFonts w:ascii="Times New Roman" w:hAnsi="Times New Roman" w:cs="Times New Roman"/>
                <w:sz w:val="24"/>
                <w:szCs w:val="24"/>
              </w:rPr>
              <w:lastRenderedPageBreak/>
              <w:t>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lastRenderedPageBreak/>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в) банковская гарантия должна быть выдана банком, имеющим действующую лицензию Центрального Банка Российской </w:t>
            </w:r>
            <w:r w:rsidRPr="00EA6364">
              <w:rPr>
                <w:rFonts w:ascii="Times New Roman" w:hAnsi="Times New Roman" w:cs="Times New Roman"/>
                <w:sz w:val="24"/>
                <w:szCs w:val="24"/>
              </w:rPr>
              <w:lastRenderedPageBreak/>
              <w:t>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д) срок действия банковской гарантии должен превышать срок оказания услуг и</w:t>
            </w:r>
            <w:r w:rsidR="00CA1EAF">
              <w:rPr>
                <w:rFonts w:ascii="Times New Roman" w:hAnsi="Times New Roman" w:cs="Times New Roman"/>
                <w:sz w:val="24"/>
                <w:szCs w:val="24"/>
              </w:rPr>
              <w:t xml:space="preserve"> </w:t>
            </w:r>
            <w:r w:rsidRPr="00EA6364">
              <w:rPr>
                <w:rFonts w:ascii="Times New Roman" w:hAnsi="Times New Roman" w:cs="Times New Roman"/>
                <w:sz w:val="24"/>
                <w:szCs w:val="24"/>
              </w:rPr>
              <w:t xml:space="preserve">(или)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8A4C0E">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w:t>
            </w:r>
            <w:r w:rsidRPr="00EA6364">
              <w:rPr>
                <w:rFonts w:ascii="Times New Roman" w:hAnsi="Times New Roman" w:cs="Times New Roman"/>
                <w:sz w:val="24"/>
                <w:szCs w:val="24"/>
              </w:rPr>
              <w:lastRenderedPageBreak/>
              <w:t xml:space="preserve">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8A4C0E">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w:t>
            </w:r>
            <w:r w:rsidRPr="00EA6364">
              <w:rPr>
                <w:rFonts w:ascii="Times New Roman" w:hAnsi="Times New Roman" w:cs="Times New Roman"/>
                <w:sz w:val="24"/>
                <w:szCs w:val="24"/>
              </w:rPr>
              <w:lastRenderedPageBreak/>
              <w:t>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w:t>
      </w:r>
      <w:r w:rsidR="006461C0" w:rsidRPr="00EA6364">
        <w:rPr>
          <w:rFonts w:ascii="Times New Roman" w:hAnsi="Times New Roman" w:cs="Times New Roman"/>
          <w:sz w:val="28"/>
          <w:szCs w:val="28"/>
        </w:rPr>
        <w:lastRenderedPageBreak/>
        <w:t>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w:t>
      </w:r>
      <w:r w:rsidR="006C3E8A" w:rsidRPr="00EA6364">
        <w:rPr>
          <w:rFonts w:ascii="Times New Roman" w:hAnsi="Times New Roman" w:cs="Times New Roman"/>
          <w:sz w:val="28"/>
          <w:szCs w:val="28"/>
        </w:rPr>
        <w:lastRenderedPageBreak/>
        <w:t>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0A6649" w:rsidRPr="00EA6364" w:rsidRDefault="000B555C" w:rsidP="00374B51">
      <w:pPr>
        <w:tabs>
          <w:tab w:val="left" w:pos="3135"/>
        </w:tabs>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 xml:space="preserve">в соответствии с </w:t>
      </w:r>
      <w:r w:rsidR="00CF2B55" w:rsidRPr="00EA6364">
        <w:rPr>
          <w:rStyle w:val="a9"/>
          <w:rFonts w:ascii="Times New Roman" w:hAnsi="Times New Roman" w:cs="Times New Roman"/>
          <w:sz w:val="28"/>
          <w:szCs w:val="28"/>
        </w:rPr>
        <w:lastRenderedPageBreak/>
        <w:t>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w:t>
      </w:r>
      <w:r w:rsidR="004B54D7">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4B54D7" w:rsidRPr="004B54D7">
          <w:rPr>
            <w:rStyle w:val="a9"/>
            <w:rFonts w:ascii="Times New Roman" w:hAnsi="Times New Roman" w:cs="Times New Roman"/>
            <w:sz w:val="28"/>
            <w:szCs w:val="28"/>
          </w:rPr>
          <w:t>статьей 66 </w:t>
        </w:r>
        <w:r w:rsidR="004B54D7" w:rsidRPr="004B54D7">
          <w:rPr>
            <w:rStyle w:val="a9"/>
            <w:rFonts w:ascii="Times New Roman" w:hAnsi="Times New Roman" w:cs="Times New Roman"/>
            <w:sz w:val="28"/>
            <w:szCs w:val="28"/>
            <w:vertAlign w:val="superscript"/>
          </w:rPr>
          <w:t>1</w:t>
        </w:r>
      </w:hyperlink>
      <w:r w:rsidR="004B54D7">
        <w:rPr>
          <w:rStyle w:val="a9"/>
          <w:rFonts w:ascii="Times New Roman" w:hAnsi="Times New Roman" w:cs="Times New Roman"/>
          <w:sz w:val="28"/>
          <w:szCs w:val="28"/>
        </w:rPr>
        <w:t> Трудового кодекса Российской Федерации</w:t>
      </w:r>
      <w:r w:rsidRPr="00EA6364">
        <w:rPr>
          <w:rStyle w:val="a9"/>
          <w:rFonts w:ascii="Times New Roman" w:hAnsi="Times New Roman" w:cs="Times New Roman"/>
          <w:sz w:val="28"/>
          <w:szCs w:val="28"/>
        </w:rPr>
        <w:t>,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374B51" w:rsidRDefault="00C141B4" w:rsidP="00D7124D">
      <w:pPr>
        <w:spacing w:after="0" w:line="240" w:lineRule="auto"/>
        <w:ind w:firstLine="709"/>
        <w:jc w:val="both"/>
        <w:rPr>
          <w:rStyle w:val="a9"/>
          <w:rFonts w:ascii="Times New Roman" w:hAnsi="Times New Roman" w:cs="Times New Roman"/>
          <w:sz w:val="28"/>
          <w:szCs w:val="28"/>
        </w:rPr>
      </w:pPr>
      <w:r w:rsidRPr="00CA1EAF">
        <w:rPr>
          <w:rStyle w:val="a9"/>
          <w:rFonts w:ascii="Times New Roman" w:hAnsi="Times New Roman" w:cs="Times New Roman"/>
          <w:sz w:val="28"/>
          <w:szCs w:val="28"/>
        </w:rPr>
        <w:t>м</w:t>
      </w:r>
      <w:r w:rsidR="0063318E" w:rsidRPr="00CA1EAF">
        <w:rPr>
          <w:rStyle w:val="a9"/>
          <w:rFonts w:ascii="Times New Roman" w:hAnsi="Times New Roman" w:cs="Times New Roman"/>
          <w:sz w:val="28"/>
          <w:szCs w:val="28"/>
        </w:rPr>
        <w:t xml:space="preserve">) </w:t>
      </w:r>
      <w:r w:rsidR="009C7248" w:rsidRPr="00CA1EAF">
        <w:rPr>
          <w:rStyle w:val="a9"/>
          <w:rFonts w:ascii="Times New Roman" w:hAnsi="Times New Roman" w:cs="Times New Roman"/>
          <w:sz w:val="28"/>
          <w:szCs w:val="28"/>
        </w:rPr>
        <w:t xml:space="preserve">копии </w:t>
      </w:r>
      <w:r w:rsidR="00CF2B55" w:rsidRPr="00CA1EAF">
        <w:rPr>
          <w:rStyle w:val="a9"/>
          <w:rFonts w:ascii="Times New Roman" w:hAnsi="Times New Roman" w:cs="Times New Roman"/>
          <w:sz w:val="28"/>
          <w:szCs w:val="28"/>
        </w:rPr>
        <w:t xml:space="preserve">не менее 3 </w:t>
      </w:r>
      <w:r w:rsidRPr="00CA1EAF">
        <w:rPr>
          <w:rStyle w:val="a9"/>
          <w:rFonts w:ascii="Times New Roman" w:hAnsi="Times New Roman" w:cs="Times New Roman"/>
          <w:sz w:val="28"/>
          <w:szCs w:val="28"/>
        </w:rPr>
        <w:t xml:space="preserve">(трех) </w:t>
      </w:r>
      <w:r w:rsidR="009C7248" w:rsidRPr="00CA1EAF">
        <w:rPr>
          <w:rStyle w:val="a9"/>
          <w:rFonts w:ascii="Times New Roman" w:hAnsi="Times New Roman" w:cs="Times New Roman"/>
          <w:sz w:val="28"/>
          <w:szCs w:val="28"/>
        </w:rPr>
        <w:t xml:space="preserve">исполненных </w:t>
      </w:r>
      <w:r w:rsidR="00CF2B55" w:rsidRPr="00CA1EAF">
        <w:rPr>
          <w:rStyle w:val="a9"/>
          <w:rFonts w:ascii="Times New Roman" w:hAnsi="Times New Roman" w:cs="Times New Roman"/>
          <w:sz w:val="28"/>
          <w:szCs w:val="28"/>
        </w:rPr>
        <w:t xml:space="preserve">контрактов </w:t>
      </w:r>
      <w:r w:rsidR="009C7248" w:rsidRPr="00CA1EAF">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A1EAF">
        <w:rPr>
          <w:rStyle w:val="a9"/>
          <w:rFonts w:ascii="Times New Roman" w:hAnsi="Times New Roman" w:cs="Times New Roman"/>
          <w:sz w:val="28"/>
          <w:szCs w:val="28"/>
        </w:rPr>
        <w:t xml:space="preserve"> по таким контрактам и (или) договорам</w:t>
      </w:r>
      <w:r w:rsidR="009C7248" w:rsidRPr="00CA1EAF">
        <w:rPr>
          <w:rStyle w:val="a9"/>
          <w:rFonts w:ascii="Times New Roman" w:hAnsi="Times New Roman" w:cs="Times New Roman"/>
          <w:sz w:val="28"/>
          <w:szCs w:val="28"/>
        </w:rPr>
        <w:t xml:space="preserve">, в которых указана их окончательная стоимость и </w:t>
      </w:r>
      <w:r w:rsidR="00AD6BF0" w:rsidRPr="00CA1EAF">
        <w:rPr>
          <w:rStyle w:val="a9"/>
          <w:rFonts w:ascii="Times New Roman" w:hAnsi="Times New Roman" w:cs="Times New Roman"/>
          <w:sz w:val="28"/>
          <w:szCs w:val="28"/>
        </w:rPr>
        <w:t xml:space="preserve">которыми </w:t>
      </w:r>
      <w:r w:rsidR="009C7248" w:rsidRPr="00CA1EAF">
        <w:rPr>
          <w:rStyle w:val="a9"/>
          <w:rFonts w:ascii="Times New Roman" w:hAnsi="Times New Roman" w:cs="Times New Roman"/>
          <w:sz w:val="28"/>
          <w:szCs w:val="28"/>
        </w:rPr>
        <w:t xml:space="preserve">подтверждается приемка заказчиком </w:t>
      </w:r>
      <w:r w:rsidR="00AD6BF0" w:rsidRPr="00CA1EAF">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374B51">
        <w:rPr>
          <w:rStyle w:val="a9"/>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374B51">
        <w:rPr>
          <w:rStyle w:val="a9"/>
          <w:rFonts w:ascii="Times New Roman" w:hAnsi="Times New Roman" w:cs="Times New Roman"/>
          <w:sz w:val="28"/>
          <w:szCs w:val="28"/>
        </w:rPr>
        <w:t>.</w:t>
      </w:r>
      <w:r w:rsidR="001265EA" w:rsidRPr="00374B51">
        <w:rPr>
          <w:rStyle w:val="a9"/>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 xml:space="preserve">требованиями Федерального закона «О </w:t>
      </w:r>
      <w:r w:rsidR="00ED47F3" w:rsidRPr="00EA6364">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 xml:space="preserve">2.2. В течение одного рабочего дня со дня принятия указанного решения </w:t>
      </w:r>
      <w:r w:rsidRPr="00EA6364">
        <w:rPr>
          <w:rFonts w:ascii="Times New Roman" w:eastAsia="Times New Roman" w:hAnsi="Times New Roman" w:cs="Times New Roman"/>
          <w:sz w:val="28"/>
          <w:szCs w:val="28"/>
        </w:rPr>
        <w:lastRenderedPageBreak/>
        <w:t>такие изменения размещаются органом по ведению РКП на официальном сайте</w:t>
      </w:r>
      <w:r w:rsidR="00762F68">
        <w:rPr>
          <w:rFonts w:ascii="Times New Roman" w:eastAsia="Times New Roman" w:hAnsi="Times New Roman" w:cs="Times New Roman"/>
          <w:sz w:val="28"/>
          <w:szCs w:val="28"/>
        </w:rPr>
        <w:t xml:space="preserve"> </w:t>
      </w:r>
      <w:r w:rsidRPr="00EA6364">
        <w:rPr>
          <w:rFonts w:ascii="Times New Roman" w:eastAsia="Times New Roman" w:hAnsi="Times New Roman" w:cs="Times New Roman"/>
          <w:sz w:val="28"/>
          <w:szCs w:val="28"/>
        </w:rPr>
        <w:t>и сайте оператора электронной площадки.</w:t>
      </w:r>
    </w:p>
    <w:p w:rsidR="000111F1" w:rsidRPr="00EA6364" w:rsidRDefault="000111F1"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762F68">
      <w:pPr>
        <w:pStyle w:val="ConsPlusNormal"/>
        <w:tabs>
          <w:tab w:val="left" w:pos="709"/>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762F68">
      <w:pPr>
        <w:pStyle w:val="ConsPlusNormal"/>
        <w:tabs>
          <w:tab w:val="left" w:pos="709"/>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и (или) в 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Default="00E72EFB" w:rsidP="00733D3F">
      <w:pPr>
        <w:pStyle w:val="ConsPlusNormal"/>
        <w:tabs>
          <w:tab w:val="left" w:pos="993"/>
        </w:tabs>
        <w:ind w:firstLine="709"/>
        <w:jc w:val="both"/>
        <w:rPr>
          <w:rFonts w:ascii="Times New Roman" w:hAnsi="Times New Roman" w:cs="Times New Roman"/>
          <w:i/>
          <w:sz w:val="28"/>
          <w:szCs w:val="28"/>
        </w:rPr>
      </w:pPr>
    </w:p>
    <w:p w:rsidR="00762F68" w:rsidRPr="00EA6364" w:rsidRDefault="00762F68"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4"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же размещается на сайте Органа по ведению РКП</w:t>
      </w:r>
      <w:r w:rsidR="0010455B" w:rsidRPr="00EA6364">
        <w:rPr>
          <w:rFonts w:ascii="Times New Roman" w:hAnsi="Times New Roman" w:cs="Times New Roman"/>
          <w:sz w:val="28"/>
          <w:szCs w:val="28"/>
        </w:rPr>
        <w:t>.</w:t>
      </w:r>
    </w:p>
    <w:p w:rsidR="00C14015" w:rsidRPr="00EA6364" w:rsidRDefault="00C14015" w:rsidP="00762F68">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A6364" w:rsidRDefault="00423B22" w:rsidP="00762F68">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lastRenderedPageBreak/>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5"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5621DB" w:rsidRPr="00EA6364" w:rsidRDefault="005621DB" w:rsidP="00324806">
      <w:pPr>
        <w:spacing w:after="0" w:line="240" w:lineRule="auto"/>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4B54D7" w:rsidRDefault="004B54D7" w:rsidP="00E572FC">
      <w:pPr>
        <w:spacing w:after="0" w:line="240" w:lineRule="auto"/>
        <w:ind w:left="5670"/>
        <w:jc w:val="right"/>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действующего на основании</w:t>
      </w:r>
      <w:r w:rsidR="00CA1EAF">
        <w:rPr>
          <w:rFonts w:ascii="Times New Roman" w:hAnsi="Times New Roman" w:cs="Times New Roman"/>
          <w:sz w:val="28"/>
          <w:szCs w:val="28"/>
        </w:rPr>
        <w:t xml:space="preserve"> </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CA1EAF">
        <w:rPr>
          <w:rFonts w:ascii="Times New Roman" w:hAnsi="Times New Roman" w:cs="Times New Roman"/>
          <w:i/>
          <w:sz w:val="24"/>
          <w:szCs w:val="24"/>
          <w:u w:val="single"/>
        </w:rPr>
        <w:t xml:space="preserve"> </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A1EAF">
        <w:rPr>
          <w:rFonts w:ascii="Times New Roman" w:hAnsi="Times New Roman" w:cs="Times New Roman"/>
          <w:sz w:val="28"/>
          <w:szCs w:val="28"/>
        </w:rPr>
        <w:t xml:space="preserve"> </w:t>
      </w:r>
      <w:r w:rsidRPr="00EA6364">
        <w:rPr>
          <w:rFonts w:ascii="Times New Roman" w:hAnsi="Times New Roman" w:cs="Times New Roman"/>
          <w:sz w:val="28"/>
          <w:szCs w:val="28"/>
        </w:rPr>
        <w:t>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lastRenderedPageBreak/>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9B0D3C" w:rsidRDefault="009B0D3C" w:rsidP="00E572FC">
      <w:pPr>
        <w:spacing w:after="0" w:line="240" w:lineRule="auto"/>
        <w:ind w:left="5812"/>
        <w:jc w:val="right"/>
        <w:rPr>
          <w:rFonts w:ascii="Times New Roman" w:hAnsi="Times New Roman" w:cs="Times New Roman"/>
          <w:sz w:val="24"/>
          <w:szCs w:val="24"/>
        </w:rPr>
      </w:pPr>
    </w:p>
    <w:p w:rsidR="009B0D3C" w:rsidRDefault="009B0D3C"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8A4C0E" w:rsidRDefault="008A4C0E" w:rsidP="00E572FC">
      <w:pPr>
        <w:spacing w:after="0" w:line="240" w:lineRule="auto"/>
        <w:ind w:left="5812"/>
        <w:jc w:val="right"/>
        <w:rPr>
          <w:rFonts w:ascii="Times New Roman" w:hAnsi="Times New Roman" w:cs="Times New Roman"/>
          <w:sz w:val="24"/>
          <w:szCs w:val="24"/>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00CA1EAF">
        <w:rPr>
          <w:rFonts w:ascii="Times New Roman" w:eastAsia="Times New Roman" w:hAnsi="Times New Roman" w:cs="Times New Roman"/>
          <w:bCs/>
          <w:lang w:eastAsia="ru-RU"/>
        </w:rPr>
        <w:t xml:space="preserve"> </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 xml:space="preserve">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w:t>
      </w:r>
      <w:r w:rsidRPr="00EA6364">
        <w:rPr>
          <w:rFonts w:ascii="Times New Roman" w:hAnsi="Times New Roman" w:cs="Times New Roman"/>
          <w:i/>
          <w:sz w:val="24"/>
          <w:szCs w:val="24"/>
        </w:rPr>
        <w:lastRenderedPageBreak/>
        <w:t>организаций.</w:t>
      </w:r>
    </w:p>
    <w:sectPr w:rsidR="00E572FC" w:rsidRPr="00EA6364" w:rsidSect="008A4C0E">
      <w:headerReference w:type="default" r:id="rId16"/>
      <w:pgSz w:w="11906" w:h="16838"/>
      <w:pgMar w:top="1134" w:right="707"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0EB0" w:rsidRDefault="00C40EB0" w:rsidP="009E4821">
      <w:pPr>
        <w:spacing w:after="0" w:line="240" w:lineRule="auto"/>
      </w:pPr>
      <w:r>
        <w:separator/>
      </w:r>
    </w:p>
  </w:endnote>
  <w:endnote w:type="continuationSeparator" w:id="1">
    <w:p w:rsidR="00C40EB0" w:rsidRDefault="00C40EB0"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0EB0" w:rsidRDefault="00C40EB0" w:rsidP="009E4821">
      <w:pPr>
        <w:spacing w:after="0" w:line="240" w:lineRule="auto"/>
      </w:pPr>
      <w:r>
        <w:separator/>
      </w:r>
    </w:p>
  </w:footnote>
  <w:footnote w:type="continuationSeparator" w:id="1">
    <w:p w:rsidR="00C40EB0" w:rsidRDefault="00C40EB0"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AC5B7B">
        <w:pPr>
          <w:pStyle w:val="af8"/>
          <w:jc w:val="center"/>
        </w:pPr>
        <w:r>
          <w:fldChar w:fldCharType="begin"/>
        </w:r>
        <w:r w:rsidR="00D7124D">
          <w:instrText>PAGE   \* MERGEFORMAT</w:instrText>
        </w:r>
        <w:r>
          <w:fldChar w:fldCharType="separate"/>
        </w:r>
        <w:r w:rsidR="007B089C">
          <w:rPr>
            <w:noProof/>
          </w:rPr>
          <w:t>4</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3C02F89"/>
    <w:multiLevelType w:val="hybridMultilevel"/>
    <w:tmpl w:val="F3AA5DB2"/>
    <w:lvl w:ilvl="0" w:tplc="FB2EB590">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7"/>
  </w:num>
  <w:num w:numId="3">
    <w:abstractNumId w:val="15"/>
  </w:num>
  <w:num w:numId="4">
    <w:abstractNumId w:val="42"/>
  </w:num>
  <w:num w:numId="5">
    <w:abstractNumId w:val="20"/>
  </w:num>
  <w:num w:numId="6">
    <w:abstractNumId w:val="44"/>
  </w:num>
  <w:num w:numId="7">
    <w:abstractNumId w:val="13"/>
  </w:num>
  <w:num w:numId="8">
    <w:abstractNumId w:val="22"/>
  </w:num>
  <w:num w:numId="9">
    <w:abstractNumId w:val="27"/>
  </w:num>
  <w:num w:numId="10">
    <w:abstractNumId w:val="38"/>
  </w:num>
  <w:num w:numId="11">
    <w:abstractNumId w:val="12"/>
  </w:num>
  <w:num w:numId="12">
    <w:abstractNumId w:val="19"/>
  </w:num>
  <w:num w:numId="13">
    <w:abstractNumId w:val="21"/>
  </w:num>
  <w:num w:numId="14">
    <w:abstractNumId w:val="0"/>
  </w:num>
  <w:num w:numId="15">
    <w:abstractNumId w:val="14"/>
  </w:num>
  <w:num w:numId="16">
    <w:abstractNumId w:val="3"/>
  </w:num>
  <w:num w:numId="17">
    <w:abstractNumId w:val="39"/>
  </w:num>
  <w:num w:numId="18">
    <w:abstractNumId w:val="41"/>
  </w:num>
  <w:num w:numId="19">
    <w:abstractNumId w:val="36"/>
  </w:num>
  <w:num w:numId="20">
    <w:abstractNumId w:val="11"/>
  </w:num>
  <w:num w:numId="21">
    <w:abstractNumId w:val="29"/>
  </w:num>
  <w:num w:numId="22">
    <w:abstractNumId w:val="9"/>
  </w:num>
  <w:num w:numId="23">
    <w:abstractNumId w:val="10"/>
  </w:num>
  <w:num w:numId="24">
    <w:abstractNumId w:val="4"/>
  </w:num>
  <w:num w:numId="25">
    <w:abstractNumId w:val="5"/>
  </w:num>
  <w:num w:numId="26">
    <w:abstractNumId w:val="17"/>
  </w:num>
  <w:num w:numId="27">
    <w:abstractNumId w:val="34"/>
  </w:num>
  <w:num w:numId="28">
    <w:abstractNumId w:val="1"/>
  </w:num>
  <w:num w:numId="29">
    <w:abstractNumId w:val="6"/>
  </w:num>
  <w:num w:numId="30">
    <w:abstractNumId w:val="28"/>
  </w:num>
  <w:num w:numId="31">
    <w:abstractNumId w:val="25"/>
  </w:num>
  <w:num w:numId="32">
    <w:abstractNumId w:val="18"/>
  </w:num>
  <w:num w:numId="33">
    <w:abstractNumId w:val="37"/>
  </w:num>
  <w:num w:numId="34">
    <w:abstractNumId w:val="16"/>
  </w:num>
  <w:num w:numId="35">
    <w:abstractNumId w:val="31"/>
  </w:num>
  <w:num w:numId="36">
    <w:abstractNumId w:val="2"/>
  </w:num>
  <w:num w:numId="37">
    <w:abstractNumId w:val="30"/>
  </w:num>
  <w:num w:numId="38">
    <w:abstractNumId w:val="26"/>
  </w:num>
  <w:num w:numId="39">
    <w:abstractNumId w:val="35"/>
  </w:num>
  <w:num w:numId="40">
    <w:abstractNumId w:val="43"/>
  </w:num>
  <w:num w:numId="41">
    <w:abstractNumId w:val="24"/>
  </w:num>
  <w:num w:numId="42">
    <w:abstractNumId w:val="23"/>
  </w:num>
  <w:num w:numId="43">
    <w:abstractNumId w:val="40"/>
  </w:num>
  <w:num w:numId="44">
    <w:abstractNumId w:val="32"/>
  </w:num>
  <w:num w:numId="45">
    <w:abstractNumId w:val="45"/>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25F8E"/>
    <w:rsid w:val="00031801"/>
    <w:rsid w:val="00034758"/>
    <w:rsid w:val="000406FF"/>
    <w:rsid w:val="000421C7"/>
    <w:rsid w:val="00047B21"/>
    <w:rsid w:val="000515EF"/>
    <w:rsid w:val="000558F3"/>
    <w:rsid w:val="00070CD4"/>
    <w:rsid w:val="00074574"/>
    <w:rsid w:val="000A6649"/>
    <w:rsid w:val="000B03A3"/>
    <w:rsid w:val="000B555C"/>
    <w:rsid w:val="000B589E"/>
    <w:rsid w:val="000B6D93"/>
    <w:rsid w:val="000C1235"/>
    <w:rsid w:val="000C40E0"/>
    <w:rsid w:val="000C53D1"/>
    <w:rsid w:val="000C66DA"/>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539B8"/>
    <w:rsid w:val="001608A9"/>
    <w:rsid w:val="00166051"/>
    <w:rsid w:val="00170A14"/>
    <w:rsid w:val="0017121D"/>
    <w:rsid w:val="00174835"/>
    <w:rsid w:val="00180270"/>
    <w:rsid w:val="001837F8"/>
    <w:rsid w:val="001870EF"/>
    <w:rsid w:val="00191F71"/>
    <w:rsid w:val="00197D1E"/>
    <w:rsid w:val="001A2B05"/>
    <w:rsid w:val="001A64DD"/>
    <w:rsid w:val="001B1124"/>
    <w:rsid w:val="001B7599"/>
    <w:rsid w:val="001B7C58"/>
    <w:rsid w:val="001C2535"/>
    <w:rsid w:val="001C4604"/>
    <w:rsid w:val="001D1B38"/>
    <w:rsid w:val="001D2FCC"/>
    <w:rsid w:val="001D70A0"/>
    <w:rsid w:val="001E0AA3"/>
    <w:rsid w:val="001E1FF0"/>
    <w:rsid w:val="001E2B29"/>
    <w:rsid w:val="001F029A"/>
    <w:rsid w:val="001F1721"/>
    <w:rsid w:val="001F37F9"/>
    <w:rsid w:val="001F4302"/>
    <w:rsid w:val="00201FB7"/>
    <w:rsid w:val="0020544E"/>
    <w:rsid w:val="00207A81"/>
    <w:rsid w:val="0021048A"/>
    <w:rsid w:val="00210641"/>
    <w:rsid w:val="00211FAB"/>
    <w:rsid w:val="002150F7"/>
    <w:rsid w:val="00217D47"/>
    <w:rsid w:val="00220E14"/>
    <w:rsid w:val="002248E8"/>
    <w:rsid w:val="00230B18"/>
    <w:rsid w:val="00233FF8"/>
    <w:rsid w:val="002347E2"/>
    <w:rsid w:val="00234F4A"/>
    <w:rsid w:val="002412B3"/>
    <w:rsid w:val="00244177"/>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0C3D"/>
    <w:rsid w:val="002F7C06"/>
    <w:rsid w:val="003012FC"/>
    <w:rsid w:val="00302095"/>
    <w:rsid w:val="00302872"/>
    <w:rsid w:val="0030632B"/>
    <w:rsid w:val="00322680"/>
    <w:rsid w:val="00324806"/>
    <w:rsid w:val="003250E6"/>
    <w:rsid w:val="00327728"/>
    <w:rsid w:val="0033466D"/>
    <w:rsid w:val="00337D37"/>
    <w:rsid w:val="00347468"/>
    <w:rsid w:val="00347876"/>
    <w:rsid w:val="00351784"/>
    <w:rsid w:val="003607D3"/>
    <w:rsid w:val="003716B7"/>
    <w:rsid w:val="00373969"/>
    <w:rsid w:val="00374B51"/>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1A5F"/>
    <w:rsid w:val="003C53CE"/>
    <w:rsid w:val="003C5833"/>
    <w:rsid w:val="003C67F8"/>
    <w:rsid w:val="003C68B0"/>
    <w:rsid w:val="003D46D0"/>
    <w:rsid w:val="003D6C67"/>
    <w:rsid w:val="003D6EFB"/>
    <w:rsid w:val="003E4B4C"/>
    <w:rsid w:val="003E7454"/>
    <w:rsid w:val="003F301E"/>
    <w:rsid w:val="00400453"/>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12F8"/>
    <w:rsid w:val="00483C60"/>
    <w:rsid w:val="0048746C"/>
    <w:rsid w:val="004907C1"/>
    <w:rsid w:val="004918CB"/>
    <w:rsid w:val="00493503"/>
    <w:rsid w:val="004A2BA3"/>
    <w:rsid w:val="004A4A46"/>
    <w:rsid w:val="004B297F"/>
    <w:rsid w:val="004B4ED0"/>
    <w:rsid w:val="004B54D7"/>
    <w:rsid w:val="004B5BBD"/>
    <w:rsid w:val="004C4DDC"/>
    <w:rsid w:val="004C74A1"/>
    <w:rsid w:val="004C7E98"/>
    <w:rsid w:val="004D0BA2"/>
    <w:rsid w:val="004E08BD"/>
    <w:rsid w:val="004E450D"/>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D07"/>
    <w:rsid w:val="00596F8F"/>
    <w:rsid w:val="00597B40"/>
    <w:rsid w:val="005A08B5"/>
    <w:rsid w:val="005A31BB"/>
    <w:rsid w:val="005B55F7"/>
    <w:rsid w:val="005C77E4"/>
    <w:rsid w:val="005D5C6D"/>
    <w:rsid w:val="005F1DD5"/>
    <w:rsid w:val="005F1E0B"/>
    <w:rsid w:val="005F2F03"/>
    <w:rsid w:val="00600186"/>
    <w:rsid w:val="006009FF"/>
    <w:rsid w:val="00617194"/>
    <w:rsid w:val="00617248"/>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7713"/>
    <w:rsid w:val="006727AE"/>
    <w:rsid w:val="00673BE4"/>
    <w:rsid w:val="006750EF"/>
    <w:rsid w:val="00677906"/>
    <w:rsid w:val="00680AE2"/>
    <w:rsid w:val="00683263"/>
    <w:rsid w:val="006901AF"/>
    <w:rsid w:val="006958B0"/>
    <w:rsid w:val="00697459"/>
    <w:rsid w:val="006A5BE3"/>
    <w:rsid w:val="006B167A"/>
    <w:rsid w:val="006B47CC"/>
    <w:rsid w:val="006B6ED6"/>
    <w:rsid w:val="006C079C"/>
    <w:rsid w:val="006C1B30"/>
    <w:rsid w:val="006C3E8A"/>
    <w:rsid w:val="006D31BE"/>
    <w:rsid w:val="006D62AD"/>
    <w:rsid w:val="006D7F50"/>
    <w:rsid w:val="006F0506"/>
    <w:rsid w:val="006F51BF"/>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62F68"/>
    <w:rsid w:val="007711E4"/>
    <w:rsid w:val="00773C1A"/>
    <w:rsid w:val="0077518C"/>
    <w:rsid w:val="0079132B"/>
    <w:rsid w:val="00796484"/>
    <w:rsid w:val="00797D6A"/>
    <w:rsid w:val="007A2465"/>
    <w:rsid w:val="007A5226"/>
    <w:rsid w:val="007B089C"/>
    <w:rsid w:val="007B19AF"/>
    <w:rsid w:val="007B3209"/>
    <w:rsid w:val="007B6AEC"/>
    <w:rsid w:val="007C2C8D"/>
    <w:rsid w:val="007C7506"/>
    <w:rsid w:val="007E0904"/>
    <w:rsid w:val="007E189B"/>
    <w:rsid w:val="007E439A"/>
    <w:rsid w:val="007E45CD"/>
    <w:rsid w:val="007F16A8"/>
    <w:rsid w:val="007F3560"/>
    <w:rsid w:val="007F4DD9"/>
    <w:rsid w:val="007F5077"/>
    <w:rsid w:val="00811E3B"/>
    <w:rsid w:val="008144C6"/>
    <w:rsid w:val="00814707"/>
    <w:rsid w:val="00822C56"/>
    <w:rsid w:val="008240B2"/>
    <w:rsid w:val="00826049"/>
    <w:rsid w:val="008261C8"/>
    <w:rsid w:val="00830E6B"/>
    <w:rsid w:val="00833BA7"/>
    <w:rsid w:val="00834951"/>
    <w:rsid w:val="00840BFD"/>
    <w:rsid w:val="008411A4"/>
    <w:rsid w:val="00844F6C"/>
    <w:rsid w:val="00846987"/>
    <w:rsid w:val="00852AE2"/>
    <w:rsid w:val="00857C24"/>
    <w:rsid w:val="008709A1"/>
    <w:rsid w:val="00894CC4"/>
    <w:rsid w:val="00896A49"/>
    <w:rsid w:val="00897901"/>
    <w:rsid w:val="008A4C0E"/>
    <w:rsid w:val="008B40A9"/>
    <w:rsid w:val="008B64D1"/>
    <w:rsid w:val="008D1543"/>
    <w:rsid w:val="008D32AE"/>
    <w:rsid w:val="008D498B"/>
    <w:rsid w:val="008F39B2"/>
    <w:rsid w:val="008F71A5"/>
    <w:rsid w:val="00900AEA"/>
    <w:rsid w:val="00904B2B"/>
    <w:rsid w:val="00905414"/>
    <w:rsid w:val="00911452"/>
    <w:rsid w:val="009136B0"/>
    <w:rsid w:val="0091556B"/>
    <w:rsid w:val="009155AE"/>
    <w:rsid w:val="00915A09"/>
    <w:rsid w:val="00921E65"/>
    <w:rsid w:val="00922F89"/>
    <w:rsid w:val="00927235"/>
    <w:rsid w:val="00927DDD"/>
    <w:rsid w:val="009300D6"/>
    <w:rsid w:val="0094287E"/>
    <w:rsid w:val="00950FA7"/>
    <w:rsid w:val="0096600A"/>
    <w:rsid w:val="00966A70"/>
    <w:rsid w:val="00970CF0"/>
    <w:rsid w:val="00971956"/>
    <w:rsid w:val="009747E7"/>
    <w:rsid w:val="009747FC"/>
    <w:rsid w:val="00977B75"/>
    <w:rsid w:val="0098503C"/>
    <w:rsid w:val="00985C54"/>
    <w:rsid w:val="00987BC1"/>
    <w:rsid w:val="009927FE"/>
    <w:rsid w:val="009928BA"/>
    <w:rsid w:val="00993F41"/>
    <w:rsid w:val="009946A2"/>
    <w:rsid w:val="009A576A"/>
    <w:rsid w:val="009A64E9"/>
    <w:rsid w:val="009B0D3C"/>
    <w:rsid w:val="009C09CF"/>
    <w:rsid w:val="009C25BF"/>
    <w:rsid w:val="009C42E0"/>
    <w:rsid w:val="009C6D29"/>
    <w:rsid w:val="009C7248"/>
    <w:rsid w:val="009D0703"/>
    <w:rsid w:val="009D37DB"/>
    <w:rsid w:val="009D45F3"/>
    <w:rsid w:val="009D4F1A"/>
    <w:rsid w:val="009D62AE"/>
    <w:rsid w:val="009E4821"/>
    <w:rsid w:val="009E583A"/>
    <w:rsid w:val="009F437C"/>
    <w:rsid w:val="009F58C2"/>
    <w:rsid w:val="009F6928"/>
    <w:rsid w:val="009F6C5C"/>
    <w:rsid w:val="009F6E4E"/>
    <w:rsid w:val="00A05154"/>
    <w:rsid w:val="00A07B63"/>
    <w:rsid w:val="00A10908"/>
    <w:rsid w:val="00A1118F"/>
    <w:rsid w:val="00A1190F"/>
    <w:rsid w:val="00A11910"/>
    <w:rsid w:val="00A1358C"/>
    <w:rsid w:val="00A157B9"/>
    <w:rsid w:val="00A1705C"/>
    <w:rsid w:val="00A2462E"/>
    <w:rsid w:val="00A25713"/>
    <w:rsid w:val="00A3144B"/>
    <w:rsid w:val="00A3382A"/>
    <w:rsid w:val="00A3428F"/>
    <w:rsid w:val="00A34377"/>
    <w:rsid w:val="00A4424D"/>
    <w:rsid w:val="00A44538"/>
    <w:rsid w:val="00A458F6"/>
    <w:rsid w:val="00A46384"/>
    <w:rsid w:val="00A517AE"/>
    <w:rsid w:val="00A53AD1"/>
    <w:rsid w:val="00A541D3"/>
    <w:rsid w:val="00A56793"/>
    <w:rsid w:val="00A57F1B"/>
    <w:rsid w:val="00A6380D"/>
    <w:rsid w:val="00A66CCD"/>
    <w:rsid w:val="00A729C0"/>
    <w:rsid w:val="00A8279A"/>
    <w:rsid w:val="00A83507"/>
    <w:rsid w:val="00A85623"/>
    <w:rsid w:val="00A868E1"/>
    <w:rsid w:val="00A90980"/>
    <w:rsid w:val="00AA29C1"/>
    <w:rsid w:val="00AA2F75"/>
    <w:rsid w:val="00AA3D22"/>
    <w:rsid w:val="00AA5A22"/>
    <w:rsid w:val="00AA77E6"/>
    <w:rsid w:val="00AB1AC7"/>
    <w:rsid w:val="00AB3013"/>
    <w:rsid w:val="00AB7FE0"/>
    <w:rsid w:val="00AC18EF"/>
    <w:rsid w:val="00AC5B7B"/>
    <w:rsid w:val="00AC6BFE"/>
    <w:rsid w:val="00AD043E"/>
    <w:rsid w:val="00AD43A6"/>
    <w:rsid w:val="00AD6BF0"/>
    <w:rsid w:val="00AE1A7F"/>
    <w:rsid w:val="00AE2F5D"/>
    <w:rsid w:val="00AE7D4F"/>
    <w:rsid w:val="00AF12E9"/>
    <w:rsid w:val="00AF3E81"/>
    <w:rsid w:val="00AF3F17"/>
    <w:rsid w:val="00AF6C6A"/>
    <w:rsid w:val="00AF6F59"/>
    <w:rsid w:val="00B10278"/>
    <w:rsid w:val="00B11858"/>
    <w:rsid w:val="00B13478"/>
    <w:rsid w:val="00B1458E"/>
    <w:rsid w:val="00B32771"/>
    <w:rsid w:val="00B336B8"/>
    <w:rsid w:val="00B403E2"/>
    <w:rsid w:val="00B412C6"/>
    <w:rsid w:val="00B46551"/>
    <w:rsid w:val="00B56DA7"/>
    <w:rsid w:val="00B60540"/>
    <w:rsid w:val="00B60A15"/>
    <w:rsid w:val="00B712A0"/>
    <w:rsid w:val="00B740FC"/>
    <w:rsid w:val="00B8061B"/>
    <w:rsid w:val="00B81D91"/>
    <w:rsid w:val="00BA7E82"/>
    <w:rsid w:val="00BB3504"/>
    <w:rsid w:val="00BB3C7A"/>
    <w:rsid w:val="00BB5131"/>
    <w:rsid w:val="00BB7538"/>
    <w:rsid w:val="00BC039E"/>
    <w:rsid w:val="00BC2394"/>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EB0"/>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1EAF"/>
    <w:rsid w:val="00CA36CB"/>
    <w:rsid w:val="00CA64B6"/>
    <w:rsid w:val="00CB08D3"/>
    <w:rsid w:val="00CB2A0F"/>
    <w:rsid w:val="00CB4325"/>
    <w:rsid w:val="00CC0C97"/>
    <w:rsid w:val="00CD5325"/>
    <w:rsid w:val="00CD5B28"/>
    <w:rsid w:val="00CE02F7"/>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44A81"/>
    <w:rsid w:val="00D66EA6"/>
    <w:rsid w:val="00D7124D"/>
    <w:rsid w:val="00D84A1A"/>
    <w:rsid w:val="00D90A50"/>
    <w:rsid w:val="00DA1D45"/>
    <w:rsid w:val="00DA3F23"/>
    <w:rsid w:val="00DB08E9"/>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858AF"/>
    <w:rsid w:val="00F976AE"/>
    <w:rsid w:val="00FA037B"/>
    <w:rsid w:val="00FA1156"/>
    <w:rsid w:val="00FB3957"/>
    <w:rsid w:val="00FB55FB"/>
    <w:rsid w:val="00FC5A61"/>
    <w:rsid w:val="00FC5DD4"/>
    <w:rsid w:val="00FD0661"/>
    <w:rsid w:val="00FD2024"/>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896284767">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1786079781">
      <w:bodyDiv w:val="1"/>
      <w:marLeft w:val="0"/>
      <w:marRight w:val="0"/>
      <w:marTop w:val="0"/>
      <w:marBottom w:val="0"/>
      <w:divBdr>
        <w:top w:val="none" w:sz="0" w:space="0" w:color="auto"/>
        <w:left w:val="none" w:sz="0" w:space="0" w:color="auto"/>
        <w:bottom w:val="none" w:sz="0" w:space="0" w:color="auto"/>
        <w:right w:val="none" w:sz="0" w:space="0" w:color="auto"/>
      </w:divBdr>
    </w:div>
    <w:div w:id="183430114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7760</Words>
  <Characters>44234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3</cp:revision>
  <cp:lastPrinted>2018-10-23T09:28:00Z</cp:lastPrinted>
  <dcterms:created xsi:type="dcterms:W3CDTF">2022-06-16T12:48:00Z</dcterms:created>
  <dcterms:modified xsi:type="dcterms:W3CDTF">2022-10-04T08:57:00Z</dcterms:modified>
</cp:coreProperties>
</file>