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F00C1">
        <w:rPr>
          <w:rFonts w:ascii="Times New Roman" w:hAnsi="Times New Roman"/>
          <w:bCs/>
          <w:sz w:val="28"/>
          <w:szCs w:val="28"/>
        </w:rPr>
        <w:t xml:space="preserve">№ </w:t>
      </w:r>
      <w:r w:rsidR="002544F4">
        <w:rPr>
          <w:rFonts w:ascii="Times New Roman" w:hAnsi="Times New Roman"/>
          <w:bCs/>
          <w:sz w:val="28"/>
          <w:szCs w:val="28"/>
        </w:rPr>
        <w:t>12</w:t>
      </w:r>
      <w:r w:rsidR="004F00C1">
        <w:rPr>
          <w:rFonts w:ascii="Times New Roman" w:hAnsi="Times New Roman"/>
          <w:bCs/>
          <w:sz w:val="28"/>
          <w:szCs w:val="28"/>
        </w:rPr>
        <w:t xml:space="preserve">-д от </w:t>
      </w:r>
      <w:r w:rsidR="002544F4">
        <w:rPr>
          <w:rFonts w:ascii="Times New Roman" w:hAnsi="Times New Roman"/>
          <w:bCs/>
          <w:sz w:val="28"/>
          <w:szCs w:val="28"/>
        </w:rPr>
        <w:t>20.01.2020</w:t>
      </w:r>
      <w:r w:rsidR="004F00C1">
        <w:rPr>
          <w:rFonts w:ascii="Times New Roman" w:hAnsi="Times New Roman"/>
          <w:bCs/>
          <w:sz w:val="28"/>
          <w:szCs w:val="28"/>
        </w:rPr>
        <w:t>.</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Default="000931FB" w:rsidP="000931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0931FB" w:rsidRDefault="00D95883" w:rsidP="000931FB">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2544F4">
        <w:rPr>
          <w:rFonts w:ascii="Times New Roman" w:hAnsi="Times New Roman"/>
          <w:bCs/>
          <w:sz w:val="28"/>
          <w:szCs w:val="28"/>
        </w:rPr>
        <w:t>22</w:t>
      </w:r>
      <w:r w:rsidR="000931FB">
        <w:rPr>
          <w:rFonts w:ascii="Times New Roman" w:hAnsi="Times New Roman"/>
          <w:bCs/>
          <w:sz w:val="28"/>
          <w:szCs w:val="28"/>
        </w:rPr>
        <w:t xml:space="preserve">» </w:t>
      </w:r>
      <w:r w:rsidR="002544F4">
        <w:rPr>
          <w:rFonts w:ascii="Times New Roman" w:hAnsi="Times New Roman"/>
          <w:bCs/>
          <w:sz w:val="28"/>
          <w:szCs w:val="28"/>
        </w:rPr>
        <w:t>января 2020</w:t>
      </w:r>
      <w:r w:rsidR="000931FB">
        <w:rPr>
          <w:rFonts w:ascii="Times New Roman" w:hAnsi="Times New Roman"/>
          <w:bCs/>
          <w:sz w:val="28"/>
          <w:szCs w:val="28"/>
        </w:rPr>
        <w:t xml:space="preserve"> года </w:t>
      </w:r>
      <w:r w:rsidR="00C96DF8">
        <w:rPr>
          <w:rFonts w:ascii="Times New Roman" w:hAnsi="Times New Roman"/>
          <w:bCs/>
          <w:sz w:val="28"/>
          <w:szCs w:val="28"/>
        </w:rPr>
        <w:t>0</w:t>
      </w:r>
      <w:r w:rsidR="000931FB">
        <w:rPr>
          <w:rFonts w:ascii="Times New Roman" w:hAnsi="Times New Roman"/>
          <w:bCs/>
          <w:sz w:val="28"/>
          <w:szCs w:val="28"/>
        </w:rPr>
        <w:t xml:space="preserve">9 часов 00 минут (время московское). </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2544F4">
        <w:rPr>
          <w:rFonts w:ascii="Times New Roman" w:hAnsi="Times New Roman"/>
          <w:bCs/>
          <w:sz w:val="28"/>
          <w:szCs w:val="28"/>
        </w:rPr>
        <w:t>10</w:t>
      </w:r>
      <w:r>
        <w:rPr>
          <w:rFonts w:ascii="Times New Roman" w:hAnsi="Times New Roman"/>
          <w:bCs/>
          <w:sz w:val="28"/>
          <w:szCs w:val="28"/>
        </w:rPr>
        <w:t xml:space="preserve">» </w:t>
      </w:r>
      <w:r w:rsidR="002544F4">
        <w:rPr>
          <w:rFonts w:ascii="Times New Roman" w:hAnsi="Times New Roman"/>
          <w:bCs/>
          <w:sz w:val="28"/>
          <w:szCs w:val="28"/>
        </w:rPr>
        <w:t>февраля</w:t>
      </w:r>
      <w:r w:rsidR="003A02EA">
        <w:rPr>
          <w:rFonts w:ascii="Times New Roman" w:hAnsi="Times New Roman"/>
          <w:bCs/>
          <w:sz w:val="28"/>
          <w:szCs w:val="28"/>
        </w:rPr>
        <w:t xml:space="preserve"> </w:t>
      </w:r>
      <w:r>
        <w:rPr>
          <w:rFonts w:ascii="Times New Roman" w:hAnsi="Times New Roman"/>
          <w:bCs/>
          <w:sz w:val="28"/>
          <w:szCs w:val="28"/>
        </w:rPr>
        <w:t>20</w:t>
      </w:r>
      <w:r w:rsidR="00A633F6">
        <w:rPr>
          <w:rFonts w:ascii="Times New Roman" w:hAnsi="Times New Roman"/>
          <w:bCs/>
          <w:sz w:val="28"/>
          <w:szCs w:val="28"/>
        </w:rPr>
        <w:t>20</w:t>
      </w:r>
      <w:r>
        <w:rPr>
          <w:rFonts w:ascii="Times New Roman" w:hAnsi="Times New Roman"/>
          <w:bCs/>
          <w:sz w:val="28"/>
          <w:szCs w:val="28"/>
        </w:rPr>
        <w:t xml:space="preserve"> года </w:t>
      </w:r>
      <w:r w:rsidR="00C96DF8">
        <w:rPr>
          <w:rFonts w:ascii="Times New Roman" w:hAnsi="Times New Roman"/>
          <w:bCs/>
          <w:sz w:val="28"/>
          <w:szCs w:val="28"/>
        </w:rPr>
        <w:t>1</w:t>
      </w:r>
      <w:r w:rsidR="002544F4">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696905">
        <w:rPr>
          <w:rFonts w:ascii="Times New Roman" w:hAnsi="Times New Roman"/>
          <w:bCs/>
          <w:sz w:val="28"/>
          <w:szCs w:val="28"/>
        </w:rPr>
        <w:t>14</w:t>
      </w:r>
      <w:r>
        <w:rPr>
          <w:rFonts w:ascii="Times New Roman" w:hAnsi="Times New Roman"/>
          <w:bCs/>
          <w:sz w:val="28"/>
          <w:szCs w:val="28"/>
        </w:rPr>
        <w:t xml:space="preserve">» </w:t>
      </w:r>
      <w:r w:rsidR="002544F4">
        <w:rPr>
          <w:rFonts w:ascii="Times New Roman" w:hAnsi="Times New Roman"/>
          <w:bCs/>
          <w:sz w:val="28"/>
          <w:szCs w:val="28"/>
        </w:rPr>
        <w:t>февраля</w:t>
      </w:r>
      <w:r w:rsidR="00A633F6">
        <w:rPr>
          <w:rFonts w:ascii="Times New Roman" w:hAnsi="Times New Roman"/>
          <w:bCs/>
          <w:sz w:val="28"/>
          <w:szCs w:val="28"/>
        </w:rPr>
        <w:t xml:space="preserve"> 2020 года </w:t>
      </w:r>
      <w:r>
        <w:rPr>
          <w:rFonts w:ascii="Times New Roman" w:hAnsi="Times New Roman"/>
          <w:bCs/>
          <w:sz w:val="28"/>
          <w:szCs w:val="28"/>
        </w:rPr>
        <w:t>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lastRenderedPageBreak/>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СП 31-110-2003 Проектирование и монтаж </w:t>
            </w:r>
            <w:r w:rsidRPr="00F67A51">
              <w:rPr>
                <w:rFonts w:ascii="Times New Roman" w:eastAsia="Times New Roman" w:hAnsi="Times New Roman" w:cs="Times New Roman"/>
                <w:sz w:val="24"/>
                <w:szCs w:val="24"/>
                <w:lang w:eastAsia="ru-RU"/>
              </w:rPr>
              <w:lastRenderedPageBreak/>
              <w:t>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8B7F15">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0,4 % от предусмотренной сметной стоимости </w:t>
            </w:r>
            <w:r w:rsidRPr="00F67A51">
              <w:rPr>
                <w:rFonts w:ascii="Times New Roman" w:eastAsia="Times New Roman" w:hAnsi="Times New Roman" w:cs="Times New Roman"/>
                <w:sz w:val="24"/>
                <w:szCs w:val="24"/>
                <w:lang w:eastAsia="ru-RU"/>
              </w:rPr>
              <w:lastRenderedPageBreak/>
              <w:t>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8B7F15">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w:t>
            </w:r>
            <w:r w:rsidRPr="00F67A51">
              <w:rPr>
                <w:rFonts w:ascii="Times New Roman" w:eastAsia="Times New Roman" w:hAnsi="Times New Roman" w:cs="Times New Roman"/>
                <w:sz w:val="24"/>
                <w:szCs w:val="24"/>
                <w:lang w:eastAsia="ru-RU"/>
              </w:rPr>
              <w:lastRenderedPageBreak/>
              <w:t xml:space="preserve">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lastRenderedPageBreak/>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w:t>
            </w:r>
            <w:r w:rsidRPr="00F67A51">
              <w:rPr>
                <w:rFonts w:ascii="Times New Roman" w:eastAsia="Times New Roman" w:hAnsi="Times New Roman" w:cs="Times New Roman"/>
                <w:sz w:val="24"/>
                <w:szCs w:val="24"/>
                <w:lang w:eastAsia="ru-RU"/>
              </w:rPr>
              <w:lastRenderedPageBreak/>
              <w:t>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1E13BD">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2. Не может превышать начальную (максимальную) цену </w:t>
            </w:r>
            <w:r w:rsidRPr="00F67A51">
              <w:rPr>
                <w:rStyle w:val="a9"/>
                <w:rFonts w:ascii="Times New Roman" w:hAnsi="Times New Roman" w:cs="Times New Roman"/>
                <w:sz w:val="24"/>
                <w:szCs w:val="24"/>
              </w:rPr>
              <w:lastRenderedPageBreak/>
              <w:t>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w:t>
            </w:r>
            <w:r w:rsidRPr="00F67A51">
              <w:rPr>
                <w:rFonts w:ascii="Times New Roman" w:hAnsi="Times New Roman" w:cs="Times New Roman"/>
                <w:sz w:val="24"/>
                <w:szCs w:val="24"/>
              </w:rPr>
              <w:lastRenderedPageBreak/>
              <w:t>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1E13BD">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w:t>
            </w:r>
            <w:r w:rsidRPr="00F67A51">
              <w:rPr>
                <w:rFonts w:ascii="Times New Roman" w:hAnsi="Times New Roman" w:cs="Times New Roman"/>
                <w:sz w:val="24"/>
                <w:szCs w:val="24"/>
              </w:rPr>
              <w:lastRenderedPageBreak/>
              <w:t xml:space="preserve">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w:t>
            </w:r>
            <w:r w:rsidRPr="00F67A51">
              <w:rPr>
                <w:rFonts w:ascii="Times New Roman" w:hAnsi="Times New Roman" w:cs="Times New Roman"/>
                <w:sz w:val="24"/>
                <w:szCs w:val="24"/>
              </w:rPr>
              <w:lastRenderedPageBreak/>
              <w:t xml:space="preserve">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1E13BD">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xml:space="preserve">, или подрядной организации (основания такого расторжения </w:t>
            </w:r>
            <w:r w:rsidRPr="00F67A51">
              <w:rPr>
                <w:rFonts w:ascii="Times New Roman" w:hAnsi="Times New Roman" w:cs="Times New Roman"/>
                <w:sz w:val="24"/>
                <w:szCs w:val="24"/>
              </w:rPr>
              <w:lastRenderedPageBreak/>
              <w:t>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lastRenderedPageBreak/>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w:t>
      </w:r>
      <w:r w:rsidR="00DD24E1" w:rsidRPr="00F67A51">
        <w:rPr>
          <w:rFonts w:ascii="Times New Roman" w:hAnsi="Times New Roman" w:cs="Times New Roman"/>
          <w:sz w:val="28"/>
          <w:szCs w:val="28"/>
        </w:rPr>
        <w:lastRenderedPageBreak/>
        <w:t>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xml:space="preserve">, которая должна содержать полное наименование, сведения об организационно-правовой форме, о месте нахождения, об адресе </w:t>
      </w:r>
      <w:r w:rsidR="00565956" w:rsidRPr="00F67A51">
        <w:rPr>
          <w:rFonts w:ascii="Times New Roman" w:hAnsi="Times New Roman" w:cs="Times New Roman"/>
          <w:sz w:val="28"/>
          <w:szCs w:val="28"/>
        </w:rPr>
        <w:lastRenderedPageBreak/>
        <w:t>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F67A51">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 xml:space="preserve">всем исполненным контрактам </w:t>
            </w:r>
            <w:r w:rsidR="00833BA7" w:rsidRPr="00F67A51">
              <w:rPr>
                <w:rFonts w:ascii="Times New Roman" w:hAnsi="Times New Roman" w:cs="Times New Roman"/>
                <w:b/>
                <w:sz w:val="24"/>
                <w:szCs w:val="24"/>
              </w:rPr>
              <w:lastRenderedPageBreak/>
              <w:t>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lastRenderedPageBreak/>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w:t>
      </w:r>
      <w:r w:rsidRPr="00F67A51">
        <w:rPr>
          <w:rFonts w:ascii="Times New Roman" w:hAnsi="Times New Roman" w:cs="Times New Roman"/>
          <w:sz w:val="28"/>
          <w:szCs w:val="28"/>
        </w:rPr>
        <w:lastRenderedPageBreak/>
        <w:t>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lastRenderedPageBreak/>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4"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Любой Участник и (или) его представитель вправе участвовать в заседаниях Комиссии и осуществлять аудио- и (или) видеозаписи заседания </w:t>
      </w:r>
      <w:r w:rsidRPr="00F67A51">
        <w:rPr>
          <w:rFonts w:ascii="Times New Roman" w:hAnsi="Times New Roman" w:cs="Times New Roman"/>
          <w:sz w:val="28"/>
          <w:szCs w:val="28"/>
        </w:rPr>
        <w:lastRenderedPageBreak/>
        <w:t>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 xml:space="preserve">аявок, или о включении в реестр квалифицированных подрядных </w:t>
      </w:r>
      <w:r w:rsidR="00201FB7" w:rsidRPr="00F67A51">
        <w:rPr>
          <w:rFonts w:ascii="Times New Roman" w:hAnsi="Times New Roman" w:cs="Times New Roman"/>
          <w:sz w:val="28"/>
          <w:szCs w:val="28"/>
        </w:rPr>
        <w:lastRenderedPageBreak/>
        <w:t>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5"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w:t>
      </w:r>
      <w:r w:rsidR="003B5528" w:rsidRPr="00F67A51">
        <w:rPr>
          <w:rFonts w:ascii="Times New Roman" w:hAnsi="Times New Roman" w:cs="Times New Roman"/>
          <w:sz w:val="28"/>
          <w:szCs w:val="28"/>
        </w:rPr>
        <w:lastRenderedPageBreak/>
        <w:t xml:space="preserve">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 xml:space="preserve">лицензий, наличие </w:t>
      </w:r>
      <w:r w:rsidRPr="00F67A51">
        <w:rPr>
          <w:rFonts w:ascii="Times New Roman" w:hAnsi="Times New Roman" w:cs="Times New Roman"/>
          <w:i/>
          <w:sz w:val="24"/>
          <w:szCs w:val="24"/>
        </w:rPr>
        <w:lastRenderedPageBreak/>
        <w:t>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247" w:rsidRDefault="008B5247" w:rsidP="009E4821">
      <w:pPr>
        <w:spacing w:after="0" w:line="240" w:lineRule="auto"/>
      </w:pPr>
      <w:r>
        <w:separator/>
      </w:r>
    </w:p>
  </w:endnote>
  <w:endnote w:type="continuationSeparator" w:id="1">
    <w:p w:rsidR="008B5247" w:rsidRDefault="008B5247"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247" w:rsidRDefault="008B5247" w:rsidP="009E4821">
      <w:pPr>
        <w:spacing w:after="0" w:line="240" w:lineRule="auto"/>
      </w:pPr>
      <w:r>
        <w:separator/>
      </w:r>
    </w:p>
  </w:footnote>
  <w:footnote w:type="continuationSeparator" w:id="1">
    <w:p w:rsidR="008B5247" w:rsidRDefault="008B5247"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B10220">
        <w:pPr>
          <w:pStyle w:val="af8"/>
          <w:jc w:val="center"/>
        </w:pPr>
        <w:r>
          <w:fldChar w:fldCharType="begin"/>
        </w:r>
        <w:r w:rsidR="008C480E">
          <w:instrText>PAGE   \* MERGEFORMAT</w:instrText>
        </w:r>
        <w:r>
          <w:fldChar w:fldCharType="separate"/>
        </w:r>
        <w:r w:rsidR="002544F4">
          <w:rPr>
            <w:noProof/>
          </w:rPr>
          <w:t>2</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1801"/>
    <w:rsid w:val="00034758"/>
    <w:rsid w:val="000406FF"/>
    <w:rsid w:val="000421C7"/>
    <w:rsid w:val="00047B21"/>
    <w:rsid w:val="000504DF"/>
    <w:rsid w:val="000515EF"/>
    <w:rsid w:val="000558F3"/>
    <w:rsid w:val="000619A3"/>
    <w:rsid w:val="000661C0"/>
    <w:rsid w:val="00092CFE"/>
    <w:rsid w:val="000931FB"/>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64DD"/>
    <w:rsid w:val="001B7599"/>
    <w:rsid w:val="001C0B64"/>
    <w:rsid w:val="001C2535"/>
    <w:rsid w:val="001C4604"/>
    <w:rsid w:val="001D2FCC"/>
    <w:rsid w:val="001E0AA3"/>
    <w:rsid w:val="001E1FF0"/>
    <w:rsid w:val="001E2B29"/>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3014"/>
    <w:rsid w:val="00296FE2"/>
    <w:rsid w:val="002A4012"/>
    <w:rsid w:val="002A69C4"/>
    <w:rsid w:val="002B1D26"/>
    <w:rsid w:val="002C07A1"/>
    <w:rsid w:val="002C10CF"/>
    <w:rsid w:val="002C1888"/>
    <w:rsid w:val="002C6B86"/>
    <w:rsid w:val="002D1BC8"/>
    <w:rsid w:val="002D575F"/>
    <w:rsid w:val="002D68D8"/>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4362"/>
    <w:rsid w:val="0038742A"/>
    <w:rsid w:val="003966DC"/>
    <w:rsid w:val="003A02EA"/>
    <w:rsid w:val="003A053C"/>
    <w:rsid w:val="003A3661"/>
    <w:rsid w:val="003A4E26"/>
    <w:rsid w:val="003B3C8B"/>
    <w:rsid w:val="003B50EC"/>
    <w:rsid w:val="003B5528"/>
    <w:rsid w:val="003B5555"/>
    <w:rsid w:val="003B669B"/>
    <w:rsid w:val="003C1651"/>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83263"/>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F4B1F"/>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5247"/>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0220"/>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9081</Words>
  <Characters>51762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2018-10-23T09:32:00Z</cp:lastPrinted>
  <dcterms:created xsi:type="dcterms:W3CDTF">2020-01-21T07:38:00Z</dcterms:created>
  <dcterms:modified xsi:type="dcterms:W3CDTF">2020-01-21T07:38:00Z</dcterms:modified>
</cp:coreProperties>
</file>