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065F24">
        <w:rPr>
          <w:rFonts w:ascii="Times New Roman" w:hAnsi="Times New Roman"/>
          <w:bCs/>
          <w:sz w:val="28"/>
          <w:szCs w:val="28"/>
        </w:rPr>
        <w:t>№ 0</w:t>
      </w:r>
      <w:r w:rsidR="00EB7A9A">
        <w:rPr>
          <w:rFonts w:ascii="Times New Roman" w:hAnsi="Times New Roman"/>
          <w:bCs/>
          <w:sz w:val="28"/>
          <w:szCs w:val="28"/>
        </w:rPr>
        <w:t>9</w:t>
      </w:r>
      <w:r w:rsidR="00065F24">
        <w:rPr>
          <w:rFonts w:ascii="Times New Roman" w:hAnsi="Times New Roman"/>
          <w:bCs/>
          <w:sz w:val="28"/>
          <w:szCs w:val="28"/>
        </w:rPr>
        <w:t xml:space="preserve">-б от </w:t>
      </w:r>
      <w:r w:rsidR="00DD4F78">
        <w:rPr>
          <w:rFonts w:ascii="Times New Roman" w:hAnsi="Times New Roman"/>
          <w:bCs/>
          <w:sz w:val="28"/>
          <w:szCs w:val="28"/>
        </w:rPr>
        <w:t>12</w:t>
      </w:r>
      <w:r w:rsidR="0079777C">
        <w:rPr>
          <w:rFonts w:ascii="Times New Roman" w:hAnsi="Times New Roman"/>
          <w:bCs/>
          <w:sz w:val="28"/>
          <w:szCs w:val="28"/>
        </w:rPr>
        <w:t>.</w:t>
      </w:r>
      <w:r w:rsidR="00DD4F78">
        <w:rPr>
          <w:rFonts w:ascii="Times New Roman" w:hAnsi="Times New Roman"/>
          <w:bCs/>
          <w:sz w:val="28"/>
          <w:szCs w:val="28"/>
        </w:rPr>
        <w:t>12</w:t>
      </w:r>
      <w:r w:rsidR="00065F24">
        <w:rPr>
          <w:rFonts w:ascii="Times New Roman" w:hAnsi="Times New Roman"/>
          <w:bCs/>
          <w:sz w:val="28"/>
          <w:szCs w:val="28"/>
        </w:rPr>
        <w:t>.201</w:t>
      </w:r>
      <w:r w:rsidR="00FE633F">
        <w:rPr>
          <w:rFonts w:ascii="Times New Roman" w:hAnsi="Times New Roman"/>
          <w:bCs/>
          <w:sz w:val="28"/>
          <w:szCs w:val="28"/>
        </w:rPr>
        <w:t>9</w:t>
      </w:r>
      <w:r w:rsidR="00065F24">
        <w:rPr>
          <w:rFonts w:ascii="Times New Roman" w:hAnsi="Times New Roman"/>
          <w:bCs/>
          <w:sz w:val="28"/>
          <w:szCs w:val="28"/>
        </w:rPr>
        <w:t>.</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DD4F78">
        <w:rPr>
          <w:rFonts w:ascii="Times New Roman" w:hAnsi="Times New Roman"/>
          <w:bCs/>
          <w:sz w:val="28"/>
          <w:szCs w:val="28"/>
        </w:rPr>
        <w:t>1</w:t>
      </w:r>
      <w:r w:rsidR="0079777C">
        <w:rPr>
          <w:rFonts w:ascii="Times New Roman" w:hAnsi="Times New Roman"/>
          <w:bCs/>
          <w:sz w:val="28"/>
          <w:szCs w:val="28"/>
        </w:rPr>
        <w:t>4</w:t>
      </w:r>
      <w:r>
        <w:rPr>
          <w:rFonts w:ascii="Times New Roman" w:hAnsi="Times New Roman"/>
          <w:bCs/>
          <w:sz w:val="28"/>
          <w:szCs w:val="28"/>
        </w:rPr>
        <w:t xml:space="preserve">» </w:t>
      </w:r>
      <w:r w:rsidR="00DD4F78">
        <w:rPr>
          <w:rFonts w:ascii="Times New Roman" w:hAnsi="Times New Roman"/>
          <w:bCs/>
          <w:sz w:val="28"/>
          <w:szCs w:val="28"/>
        </w:rPr>
        <w:t>декабря</w:t>
      </w:r>
      <w:r>
        <w:rPr>
          <w:rFonts w:ascii="Times New Roman" w:hAnsi="Times New Roman"/>
          <w:bCs/>
          <w:sz w:val="28"/>
          <w:szCs w:val="28"/>
        </w:rPr>
        <w:t xml:space="preserve"> 2019 года</w:t>
      </w:r>
      <w:r w:rsidR="003C0353">
        <w:rPr>
          <w:rFonts w:ascii="Times New Roman" w:hAnsi="Times New Roman"/>
          <w:bCs/>
          <w:sz w:val="28"/>
          <w:szCs w:val="28"/>
        </w:rPr>
        <w:t xml:space="preserve"> 0</w:t>
      </w:r>
      <w:r>
        <w:rPr>
          <w:rFonts w:ascii="Times New Roman" w:hAnsi="Times New Roman"/>
          <w:bCs/>
          <w:sz w:val="28"/>
          <w:szCs w:val="28"/>
        </w:rPr>
        <w:t xml:space="preserve">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DD4F78">
        <w:rPr>
          <w:rFonts w:ascii="Times New Roman" w:hAnsi="Times New Roman"/>
          <w:bCs/>
          <w:sz w:val="28"/>
          <w:szCs w:val="28"/>
        </w:rPr>
        <w:t>09</w:t>
      </w:r>
      <w:r w:rsidRPr="00A45693">
        <w:rPr>
          <w:rFonts w:ascii="Times New Roman" w:hAnsi="Times New Roman"/>
          <w:bCs/>
          <w:sz w:val="28"/>
          <w:szCs w:val="28"/>
        </w:rPr>
        <w:t xml:space="preserve">» </w:t>
      </w:r>
      <w:r w:rsidR="00A94BD0">
        <w:rPr>
          <w:rFonts w:ascii="Times New Roman" w:hAnsi="Times New Roman"/>
          <w:bCs/>
          <w:sz w:val="28"/>
          <w:szCs w:val="28"/>
        </w:rPr>
        <w:t xml:space="preserve">января 2020 года </w:t>
      </w:r>
      <w:r w:rsidRPr="00A45693">
        <w:rPr>
          <w:rFonts w:ascii="Times New Roman" w:hAnsi="Times New Roman"/>
          <w:bCs/>
          <w:sz w:val="28"/>
          <w:szCs w:val="28"/>
        </w:rPr>
        <w:t>1</w:t>
      </w:r>
      <w:r w:rsidR="003C0353">
        <w:rPr>
          <w:rFonts w:ascii="Times New Roman" w:hAnsi="Times New Roman"/>
          <w:bCs/>
          <w:sz w:val="28"/>
          <w:szCs w:val="28"/>
        </w:rPr>
        <w:t>0</w:t>
      </w:r>
      <w:r w:rsidRPr="00A45693">
        <w:rPr>
          <w:rFonts w:ascii="Times New Roman" w:hAnsi="Times New Roman"/>
          <w:bCs/>
          <w:sz w:val="28"/>
          <w:szCs w:val="28"/>
        </w:rPr>
        <w:t xml:space="preserve">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DD4F78">
        <w:rPr>
          <w:rFonts w:ascii="Times New Roman" w:hAnsi="Times New Roman"/>
          <w:bCs/>
          <w:sz w:val="28"/>
          <w:szCs w:val="28"/>
        </w:rPr>
        <w:t>14</w:t>
      </w:r>
      <w:r w:rsidRPr="00A45693">
        <w:rPr>
          <w:rFonts w:ascii="Times New Roman" w:hAnsi="Times New Roman"/>
          <w:bCs/>
          <w:sz w:val="28"/>
          <w:szCs w:val="28"/>
        </w:rPr>
        <w:t xml:space="preserve">» </w:t>
      </w:r>
      <w:r w:rsidR="00A94BD0">
        <w:rPr>
          <w:rFonts w:ascii="Times New Roman" w:hAnsi="Times New Roman"/>
          <w:bCs/>
          <w:sz w:val="28"/>
          <w:szCs w:val="28"/>
        </w:rPr>
        <w:t xml:space="preserve">января 2020 года </w:t>
      </w:r>
      <w:r w:rsidRPr="00A45693">
        <w:rPr>
          <w:rFonts w:ascii="Times New Roman" w:hAnsi="Times New Roman"/>
          <w:bCs/>
          <w:sz w:val="28"/>
          <w:szCs w:val="28"/>
        </w:rPr>
        <w:t>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w:t>
            </w:r>
            <w:r w:rsidRPr="00957BB2">
              <w:rPr>
                <w:rFonts w:ascii="Times New Roman" w:hAnsi="Times New Roman" w:cs="Times New Roman"/>
                <w:sz w:val="24"/>
                <w:szCs w:val="24"/>
              </w:rPr>
              <w:lastRenderedPageBreak/>
              <w:t>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w:t>
            </w:r>
            <w:r w:rsidRPr="00957BB2">
              <w:rPr>
                <w:rFonts w:ascii="Times New Roman" w:hAnsi="Times New Roman" w:cs="Times New Roman"/>
                <w:sz w:val="24"/>
                <w:szCs w:val="24"/>
              </w:rPr>
              <w:lastRenderedPageBreak/>
              <w:t xml:space="preserve">электронного аукциона, с которым заключается такой договор, 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w:t>
            </w:r>
            <w:r w:rsidRPr="00957BB2">
              <w:rPr>
                <w:rFonts w:ascii="Times New Roman" w:hAnsi="Times New Roman" w:cs="Times New Roman"/>
                <w:sz w:val="24"/>
                <w:szCs w:val="24"/>
              </w:rPr>
              <w:lastRenderedPageBreak/>
              <w:t>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w:t>
            </w:r>
            <w:r w:rsidRPr="00957BB2">
              <w:rPr>
                <w:rFonts w:ascii="Times New Roman" w:hAnsi="Times New Roman" w:cs="Times New Roman"/>
                <w:sz w:val="24"/>
                <w:szCs w:val="24"/>
              </w:rPr>
              <w:lastRenderedPageBreak/>
              <w:t>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lastRenderedPageBreak/>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w:t>
      </w:r>
      <w:r w:rsidR="009C7248" w:rsidRPr="00957BB2">
        <w:rPr>
          <w:rStyle w:val="a9"/>
          <w:rFonts w:ascii="Times New Roman" w:hAnsi="Times New Roman" w:cs="Times New Roman"/>
          <w:sz w:val="28"/>
          <w:szCs w:val="28"/>
        </w:rPr>
        <w:lastRenderedPageBreak/>
        <w:t>(или)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3"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должны быть рассмотрены Комиссией до установленной в </w:t>
      </w:r>
      <w:r w:rsidRPr="00957BB2">
        <w:rPr>
          <w:rFonts w:ascii="Times New Roman" w:hAnsi="Times New Roman" w:cs="Times New Roman"/>
          <w:sz w:val="28"/>
          <w:szCs w:val="28"/>
        </w:rPr>
        <w:lastRenderedPageBreak/>
        <w:t>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w:t>
      </w:r>
      <w:r w:rsidRPr="00957BB2">
        <w:rPr>
          <w:rFonts w:ascii="Times New Roman" w:hAnsi="Times New Roman" w:cs="Times New Roman"/>
          <w:sz w:val="28"/>
          <w:szCs w:val="28"/>
        </w:rPr>
        <w:lastRenderedPageBreak/>
        <w:t xml:space="preserve">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4"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BFB" w:rsidRDefault="00E87BFB" w:rsidP="009E4821">
      <w:pPr>
        <w:spacing w:after="0" w:line="240" w:lineRule="auto"/>
      </w:pPr>
      <w:r>
        <w:separator/>
      </w:r>
    </w:p>
  </w:endnote>
  <w:endnote w:type="continuationSeparator" w:id="1">
    <w:p w:rsidR="00E87BFB" w:rsidRDefault="00E87BF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BFB" w:rsidRDefault="00E87BFB" w:rsidP="009E4821">
      <w:pPr>
        <w:spacing w:after="0" w:line="240" w:lineRule="auto"/>
      </w:pPr>
      <w:r>
        <w:separator/>
      </w:r>
    </w:p>
  </w:footnote>
  <w:footnote w:type="continuationSeparator" w:id="1">
    <w:p w:rsidR="00E87BFB" w:rsidRDefault="00E87BFB"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25653A">
        <w:pPr>
          <w:pStyle w:val="af8"/>
          <w:jc w:val="center"/>
        </w:pPr>
        <w:fldSimple w:instr="PAGE   \* MERGEFORMAT">
          <w:r w:rsidR="003C0353">
            <w:rPr>
              <w:noProof/>
            </w:rPr>
            <w:t>2</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15C5"/>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F1721"/>
    <w:rsid w:val="001F37F9"/>
    <w:rsid w:val="001F4302"/>
    <w:rsid w:val="00201FB7"/>
    <w:rsid w:val="00205236"/>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96D07"/>
    <w:rsid w:val="00597B40"/>
    <w:rsid w:val="005A31BB"/>
    <w:rsid w:val="005B55F7"/>
    <w:rsid w:val="005C77E4"/>
    <w:rsid w:val="005D5C6D"/>
    <w:rsid w:val="005F1E0B"/>
    <w:rsid w:val="005F2F03"/>
    <w:rsid w:val="006009FF"/>
    <w:rsid w:val="00617194"/>
    <w:rsid w:val="00617F4B"/>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2DB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376"/>
    <w:rsid w:val="00CC79C2"/>
    <w:rsid w:val="00CD0A0D"/>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F78"/>
    <w:rsid w:val="00DE0025"/>
    <w:rsid w:val="00DE11E5"/>
    <w:rsid w:val="00DE2FD2"/>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76AE"/>
    <w:rsid w:val="00FA037B"/>
    <w:rsid w:val="00FA1156"/>
    <w:rsid w:val="00FB3957"/>
    <w:rsid w:val="00FB4DEC"/>
    <w:rsid w:val="00FB55FB"/>
    <w:rsid w:val="00FC5A61"/>
    <w:rsid w:val="00FD0661"/>
    <w:rsid w:val="00FD2BE3"/>
    <w:rsid w:val="00FE0A89"/>
    <w:rsid w:val="00FE2CDB"/>
    <w:rsid w:val="00FE633F"/>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04FC-7913-41E0-8E09-B2AF94EC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10331</Words>
  <Characters>58889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6</cp:revision>
  <cp:lastPrinted>2018-10-23T09:23:00Z</cp:lastPrinted>
  <dcterms:created xsi:type="dcterms:W3CDTF">2019-09-19T13:33:00Z</dcterms:created>
  <dcterms:modified xsi:type="dcterms:W3CDTF">2019-12-13T08:24:00Z</dcterms:modified>
</cp:coreProperties>
</file>