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2F7C06" w:rsidRPr="001054F8"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4F8">
        <w:rPr>
          <w:rFonts w:ascii="Times New Roman" w:hAnsi="Times New Roman"/>
          <w:bCs/>
          <w:sz w:val="28"/>
          <w:szCs w:val="28"/>
        </w:rPr>
        <w:t>№ 0</w:t>
      </w:r>
      <w:r w:rsidR="00101E7B">
        <w:rPr>
          <w:rFonts w:ascii="Times New Roman" w:hAnsi="Times New Roman"/>
          <w:bCs/>
          <w:sz w:val="28"/>
          <w:szCs w:val="28"/>
        </w:rPr>
        <w:t>7</w:t>
      </w:r>
      <w:r w:rsidR="001054F8">
        <w:rPr>
          <w:rFonts w:ascii="Times New Roman" w:hAnsi="Times New Roman"/>
          <w:bCs/>
          <w:sz w:val="28"/>
          <w:szCs w:val="28"/>
        </w:rPr>
        <w:t xml:space="preserve">-в от </w:t>
      </w:r>
      <w:r w:rsidR="005F2CA1">
        <w:rPr>
          <w:rFonts w:ascii="Times New Roman" w:hAnsi="Times New Roman"/>
          <w:bCs/>
          <w:sz w:val="28"/>
          <w:szCs w:val="28"/>
        </w:rPr>
        <w:t>01</w:t>
      </w:r>
      <w:r w:rsidR="001054F8">
        <w:rPr>
          <w:rFonts w:ascii="Times New Roman" w:hAnsi="Times New Roman"/>
          <w:bCs/>
          <w:sz w:val="28"/>
          <w:szCs w:val="28"/>
        </w:rPr>
        <w:t>.</w:t>
      </w:r>
      <w:r w:rsidR="00101E7B">
        <w:rPr>
          <w:rFonts w:ascii="Times New Roman" w:hAnsi="Times New Roman"/>
          <w:bCs/>
          <w:sz w:val="28"/>
          <w:szCs w:val="28"/>
        </w:rPr>
        <w:t>1</w:t>
      </w:r>
      <w:r w:rsidR="005F2CA1">
        <w:rPr>
          <w:rFonts w:ascii="Times New Roman" w:hAnsi="Times New Roman"/>
          <w:bCs/>
          <w:sz w:val="28"/>
          <w:szCs w:val="28"/>
        </w:rPr>
        <w:t>1</w:t>
      </w:r>
      <w:r w:rsidR="001054F8">
        <w:rPr>
          <w:rFonts w:ascii="Times New Roman" w:hAnsi="Times New Roman"/>
          <w:bCs/>
          <w:sz w:val="28"/>
          <w:szCs w:val="28"/>
        </w:rPr>
        <w:t>.201</w:t>
      </w:r>
      <w:r w:rsidR="0030596D">
        <w:rPr>
          <w:rFonts w:ascii="Times New Roman" w:hAnsi="Times New Roman"/>
          <w:bCs/>
          <w:sz w:val="28"/>
          <w:szCs w:val="28"/>
        </w:rPr>
        <w:t>8</w:t>
      </w:r>
      <w:r w:rsidR="001054F8">
        <w:rPr>
          <w:rFonts w:ascii="Times New Roman" w:hAnsi="Times New Roman"/>
          <w:bCs/>
          <w:sz w:val="28"/>
          <w:szCs w:val="28"/>
        </w:rPr>
        <w:t xml:space="preserve"> года. </w:t>
      </w:r>
      <w:r w:rsidR="00A3382A" w:rsidRPr="001054F8">
        <w:rPr>
          <w:rFonts w:ascii="Times New Roman" w:hAnsi="Times New Roman"/>
          <w:b/>
          <w:bCs/>
          <w:sz w:val="28"/>
          <w:szCs w:val="28"/>
        </w:rPr>
        <w:t>Предмет предварительного отбора подрядных организаций</w:t>
      </w:r>
      <w:r w:rsidR="00A3382A"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C339C1" w:rsidRPr="001054F8">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F64685"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 xml:space="preserve">e-mail: </w:t>
      </w:r>
      <w:hyperlink r:id="rId9" w:history="1">
        <w:r w:rsidRPr="00F64685">
          <w:rPr>
            <w:rStyle w:val="a5"/>
            <w:rFonts w:ascii="Times New Roman" w:hAnsi="Times New Roman" w:cs="Times New Roman"/>
            <w:color w:val="auto"/>
            <w:sz w:val="28"/>
            <w:szCs w:val="28"/>
            <w:lang w:val="en-US"/>
          </w:rPr>
          <w:t>fkremont@admin-smolensk.ru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C77678" w:rsidRDefault="00C77678" w:rsidP="00C77678">
      <w:pPr>
        <w:tabs>
          <w:tab w:val="left" w:pos="3060"/>
        </w:tabs>
        <w:ind w:right="2"/>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C77678" w:rsidRDefault="00C77678" w:rsidP="00C77678">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F2CA1">
        <w:rPr>
          <w:rFonts w:ascii="Times New Roman" w:hAnsi="Times New Roman"/>
          <w:bCs/>
          <w:sz w:val="28"/>
          <w:szCs w:val="28"/>
        </w:rPr>
        <w:t>0</w:t>
      </w:r>
      <w:r>
        <w:rPr>
          <w:rFonts w:ascii="Times New Roman" w:hAnsi="Times New Roman"/>
          <w:bCs/>
          <w:sz w:val="28"/>
          <w:szCs w:val="28"/>
        </w:rPr>
        <w:t xml:space="preserve">2» </w:t>
      </w:r>
      <w:r w:rsidR="005F2CA1">
        <w:rPr>
          <w:rFonts w:ascii="Times New Roman" w:hAnsi="Times New Roman"/>
          <w:bCs/>
          <w:sz w:val="28"/>
          <w:szCs w:val="28"/>
        </w:rPr>
        <w:t>н</w:t>
      </w:r>
      <w:r>
        <w:rPr>
          <w:rFonts w:ascii="Times New Roman" w:hAnsi="Times New Roman"/>
          <w:bCs/>
          <w:sz w:val="28"/>
          <w:szCs w:val="28"/>
        </w:rPr>
        <w:t xml:space="preserve">оября 2018 года 9 часов 00 минут (время московское). </w:t>
      </w:r>
    </w:p>
    <w:p w:rsidR="00C77678" w:rsidRDefault="00C77678" w:rsidP="00C77678">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C77678" w:rsidRDefault="00C77678" w:rsidP="00C77678">
      <w:pPr>
        <w:tabs>
          <w:tab w:val="left" w:pos="3060"/>
        </w:tabs>
        <w:ind w:right="2"/>
        <w:rPr>
          <w:rFonts w:ascii="Times New Roman" w:hAnsi="Times New Roman"/>
          <w:bCs/>
          <w:sz w:val="28"/>
          <w:szCs w:val="28"/>
        </w:rPr>
      </w:pPr>
      <w:r>
        <w:rPr>
          <w:rFonts w:ascii="Times New Roman" w:hAnsi="Times New Roman"/>
          <w:bCs/>
          <w:sz w:val="28"/>
          <w:szCs w:val="28"/>
        </w:rPr>
        <w:t>«</w:t>
      </w:r>
      <w:r w:rsidR="005F2CA1">
        <w:rPr>
          <w:rFonts w:ascii="Times New Roman" w:hAnsi="Times New Roman"/>
          <w:bCs/>
          <w:sz w:val="28"/>
          <w:szCs w:val="28"/>
        </w:rPr>
        <w:t>2</w:t>
      </w:r>
      <w:r w:rsidR="00101E7B">
        <w:rPr>
          <w:rFonts w:ascii="Times New Roman" w:hAnsi="Times New Roman"/>
          <w:bCs/>
          <w:sz w:val="28"/>
          <w:szCs w:val="28"/>
        </w:rPr>
        <w:t>3</w:t>
      </w:r>
      <w:r>
        <w:rPr>
          <w:rFonts w:ascii="Times New Roman" w:hAnsi="Times New Roman"/>
          <w:bCs/>
          <w:sz w:val="28"/>
          <w:szCs w:val="28"/>
        </w:rPr>
        <w:t>» ноября 2018 года 18 часов 00 минут (время московское).</w:t>
      </w:r>
    </w:p>
    <w:p w:rsidR="00C77678" w:rsidRDefault="00C77678" w:rsidP="00C77678">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C77678" w:rsidRDefault="005F2CA1" w:rsidP="00C77678">
      <w:pPr>
        <w:tabs>
          <w:tab w:val="left" w:pos="3060"/>
        </w:tabs>
        <w:ind w:right="2"/>
        <w:rPr>
          <w:rFonts w:ascii="Times New Roman" w:hAnsi="Times New Roman"/>
          <w:bCs/>
          <w:sz w:val="28"/>
          <w:szCs w:val="28"/>
        </w:rPr>
      </w:pPr>
      <w:r>
        <w:rPr>
          <w:rFonts w:ascii="Times New Roman" w:hAnsi="Times New Roman"/>
          <w:bCs/>
          <w:sz w:val="28"/>
          <w:szCs w:val="28"/>
        </w:rPr>
        <w:t>«0</w:t>
      </w:r>
      <w:r w:rsidR="00101E7B">
        <w:rPr>
          <w:rFonts w:ascii="Times New Roman" w:hAnsi="Times New Roman"/>
          <w:bCs/>
          <w:sz w:val="28"/>
          <w:szCs w:val="28"/>
        </w:rPr>
        <w:t>7</w:t>
      </w:r>
      <w:r w:rsidR="00C77678">
        <w:rPr>
          <w:rFonts w:ascii="Times New Roman" w:hAnsi="Times New Roman"/>
          <w:bCs/>
          <w:sz w:val="28"/>
          <w:szCs w:val="28"/>
        </w:rPr>
        <w:t xml:space="preserve">» </w:t>
      </w:r>
      <w:r>
        <w:rPr>
          <w:rFonts w:ascii="Times New Roman" w:hAnsi="Times New Roman"/>
          <w:bCs/>
          <w:sz w:val="28"/>
          <w:szCs w:val="28"/>
        </w:rPr>
        <w:t>дека</w:t>
      </w:r>
      <w:r w:rsidR="00C77678">
        <w:rPr>
          <w:rFonts w:ascii="Times New Roman" w:hAnsi="Times New Roman"/>
          <w:bCs/>
          <w:sz w:val="28"/>
          <w:szCs w:val="28"/>
        </w:rPr>
        <w:t>бря 2018 года 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lastRenderedPageBreak/>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635062" w:rsidRPr="00F64685" w:rsidRDefault="00635062" w:rsidP="00905414">
      <w:pPr>
        <w:rPr>
          <w:rFonts w:ascii="Times New Roman" w:hAnsi="Times New Roman"/>
          <w:bCs/>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F64685" w:rsidRDefault="00905A41" w:rsidP="001E13BD">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ремонту или замене лифтового оборудования, признанного непригодным для эксплуатации, ремонт лифтовых шахт.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5. Заказчик вправе выплатить аванс в размере не более 30% от </w:t>
            </w:r>
            <w:r w:rsidRPr="00F64685">
              <w:rPr>
                <w:rStyle w:val="a9"/>
                <w:rFonts w:ascii="Times New Roman" w:hAnsi="Times New Roman" w:cs="Times New Roman"/>
                <w:sz w:val="24"/>
                <w:szCs w:val="24"/>
              </w:rPr>
              <w:lastRenderedPageBreak/>
              <w:t>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w:t>
            </w:r>
            <w:r w:rsidRPr="00F64685">
              <w:rPr>
                <w:rFonts w:ascii="Times New Roman" w:hAnsi="Times New Roman" w:cs="Times New Roman"/>
                <w:sz w:val="24"/>
                <w:szCs w:val="24"/>
              </w:rPr>
              <w:lastRenderedPageBreak/>
              <w:t>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w:t>
            </w:r>
            <w:r w:rsidRPr="00F64685">
              <w:rPr>
                <w:rFonts w:ascii="Times New Roman" w:hAnsi="Times New Roman" w:cs="Times New Roman"/>
                <w:sz w:val="24"/>
                <w:szCs w:val="24"/>
              </w:rPr>
              <w:lastRenderedPageBreak/>
              <w:t xml:space="preserve">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w:t>
            </w:r>
            <w:r w:rsidRPr="00F64685">
              <w:rPr>
                <w:rFonts w:ascii="Times New Roman" w:hAnsi="Times New Roman" w:cs="Times New Roman"/>
                <w:sz w:val="24"/>
                <w:szCs w:val="24"/>
              </w:rPr>
              <w:lastRenderedPageBreak/>
              <w:t>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F01FE8" w:rsidRPr="00F64685">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101E7B">
        <w:rPr>
          <w:rFonts w:ascii="Times New Roman" w:hAnsi="Times New Roman"/>
          <w:bCs/>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w:t>
      </w:r>
      <w:r w:rsidR="00D225B1" w:rsidRPr="00F64685">
        <w:rPr>
          <w:rFonts w:ascii="Times New Roman" w:hAnsi="Times New Roman" w:cs="Times New Roman"/>
          <w:sz w:val="28"/>
          <w:szCs w:val="28"/>
        </w:rPr>
        <w:lastRenderedPageBreak/>
        <w:t>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 xml:space="preserve">риведен в Таблице </w:t>
      </w:r>
      <w:r w:rsidR="00833BA7" w:rsidRPr="00F64685">
        <w:rPr>
          <w:rFonts w:ascii="Times New Roman" w:hAnsi="Times New Roman" w:cs="Times New Roman"/>
          <w:sz w:val="28"/>
          <w:szCs w:val="28"/>
        </w:rPr>
        <w:lastRenderedPageBreak/>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w:t>
      </w:r>
      <w:r w:rsidRPr="00F64685">
        <w:rPr>
          <w:rFonts w:ascii="Times New Roman" w:hAnsi="Times New Roman" w:cs="Times New Roman"/>
          <w:sz w:val="28"/>
          <w:szCs w:val="28"/>
        </w:rPr>
        <w:lastRenderedPageBreak/>
        <w:t xml:space="preserve">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1"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2"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2C3" w:rsidRDefault="00C852C3" w:rsidP="009E4821">
      <w:pPr>
        <w:spacing w:after="0" w:line="240" w:lineRule="auto"/>
      </w:pPr>
      <w:r>
        <w:separator/>
      </w:r>
    </w:p>
  </w:endnote>
  <w:endnote w:type="continuationSeparator" w:id="1">
    <w:p w:rsidR="00C852C3" w:rsidRDefault="00C852C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2C3" w:rsidRDefault="00C852C3" w:rsidP="009E4821">
      <w:pPr>
        <w:spacing w:after="0" w:line="240" w:lineRule="auto"/>
      </w:pPr>
      <w:r>
        <w:separator/>
      </w:r>
    </w:p>
  </w:footnote>
  <w:footnote w:type="continuationSeparator" w:id="1">
    <w:p w:rsidR="00C852C3" w:rsidRDefault="00C852C3"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CB712D">
        <w:pPr>
          <w:pStyle w:val="af8"/>
          <w:jc w:val="center"/>
        </w:pPr>
        <w:r>
          <w:fldChar w:fldCharType="begin"/>
        </w:r>
        <w:r w:rsidR="0084469E">
          <w:instrText>PAGE   \* MERGEFORMAT</w:instrText>
        </w:r>
        <w:r>
          <w:fldChar w:fldCharType="separate"/>
        </w:r>
        <w:r w:rsidR="005F2CA1">
          <w:rPr>
            <w:noProof/>
          </w:rPr>
          <w:t>3</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406FF"/>
    <w:rsid w:val="000421C7"/>
    <w:rsid w:val="00042CD0"/>
    <w:rsid w:val="00047B21"/>
    <w:rsid w:val="000515EF"/>
    <w:rsid w:val="000558F3"/>
    <w:rsid w:val="00074A52"/>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483D"/>
    <w:rsid w:val="001440BF"/>
    <w:rsid w:val="0014438E"/>
    <w:rsid w:val="001472C9"/>
    <w:rsid w:val="00147F12"/>
    <w:rsid w:val="001608A9"/>
    <w:rsid w:val="00166051"/>
    <w:rsid w:val="00170A14"/>
    <w:rsid w:val="0017121D"/>
    <w:rsid w:val="00174835"/>
    <w:rsid w:val="00180270"/>
    <w:rsid w:val="001837F8"/>
    <w:rsid w:val="001870EF"/>
    <w:rsid w:val="00187D60"/>
    <w:rsid w:val="00197D1E"/>
    <w:rsid w:val="001A64DD"/>
    <w:rsid w:val="001A6544"/>
    <w:rsid w:val="001B7599"/>
    <w:rsid w:val="001B7E4A"/>
    <w:rsid w:val="001C2535"/>
    <w:rsid w:val="001C4604"/>
    <w:rsid w:val="001D260F"/>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2095"/>
    <w:rsid w:val="00302872"/>
    <w:rsid w:val="0030596D"/>
    <w:rsid w:val="003164A9"/>
    <w:rsid w:val="00322680"/>
    <w:rsid w:val="00324806"/>
    <w:rsid w:val="003250E6"/>
    <w:rsid w:val="0033466D"/>
    <w:rsid w:val="00337D37"/>
    <w:rsid w:val="00347468"/>
    <w:rsid w:val="00347876"/>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B30"/>
    <w:rsid w:val="00673BE4"/>
    <w:rsid w:val="006750EF"/>
    <w:rsid w:val="00683263"/>
    <w:rsid w:val="006901AF"/>
    <w:rsid w:val="006958B0"/>
    <w:rsid w:val="00697459"/>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B64D1"/>
    <w:rsid w:val="008C30FF"/>
    <w:rsid w:val="008D1543"/>
    <w:rsid w:val="008D32AE"/>
    <w:rsid w:val="008D498B"/>
    <w:rsid w:val="008F71A5"/>
    <w:rsid w:val="00900AEA"/>
    <w:rsid w:val="00905414"/>
    <w:rsid w:val="00905A41"/>
    <w:rsid w:val="00911452"/>
    <w:rsid w:val="009136B0"/>
    <w:rsid w:val="009155AE"/>
    <w:rsid w:val="00915A09"/>
    <w:rsid w:val="00921CA4"/>
    <w:rsid w:val="00921E65"/>
    <w:rsid w:val="00922F89"/>
    <w:rsid w:val="00927235"/>
    <w:rsid w:val="009300D6"/>
    <w:rsid w:val="009327C3"/>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3C64"/>
    <w:rsid w:val="00B309CD"/>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39C1"/>
    <w:rsid w:val="00C35E9F"/>
    <w:rsid w:val="00C40FF8"/>
    <w:rsid w:val="00C521DF"/>
    <w:rsid w:val="00C555B0"/>
    <w:rsid w:val="00C63767"/>
    <w:rsid w:val="00C65CD5"/>
    <w:rsid w:val="00C709B4"/>
    <w:rsid w:val="00C7603F"/>
    <w:rsid w:val="00C7755C"/>
    <w:rsid w:val="00C77678"/>
    <w:rsid w:val="00C77AD7"/>
    <w:rsid w:val="00C838A7"/>
    <w:rsid w:val="00C852C3"/>
    <w:rsid w:val="00C85E5F"/>
    <w:rsid w:val="00C8651D"/>
    <w:rsid w:val="00C905DF"/>
    <w:rsid w:val="00C97688"/>
    <w:rsid w:val="00C97715"/>
    <w:rsid w:val="00CA36CB"/>
    <w:rsid w:val="00CA64B6"/>
    <w:rsid w:val="00CB2A0F"/>
    <w:rsid w:val="00CB4325"/>
    <w:rsid w:val="00CB712D"/>
    <w:rsid w:val="00CC0C97"/>
    <w:rsid w:val="00CC17BC"/>
    <w:rsid w:val="00CD5325"/>
    <w:rsid w:val="00CD5B28"/>
    <w:rsid w:val="00CE0BB1"/>
    <w:rsid w:val="00CE7348"/>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6C5E"/>
    <w:rsid w:val="00E2795E"/>
    <w:rsid w:val="00E32765"/>
    <w:rsid w:val="00E35D35"/>
    <w:rsid w:val="00E37AD8"/>
    <w:rsid w:val="00E42775"/>
    <w:rsid w:val="00E459C2"/>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B09"/>
    <w:rsid w:val="00EF0697"/>
    <w:rsid w:val="00EF31E1"/>
    <w:rsid w:val="00EF3B3E"/>
    <w:rsid w:val="00EF78B4"/>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7703</Words>
  <Characters>43912</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18</cp:revision>
  <cp:lastPrinted>2016-10-27T05:56:00Z</cp:lastPrinted>
  <dcterms:created xsi:type="dcterms:W3CDTF">2018-03-26T14:43:00Z</dcterms:created>
  <dcterms:modified xsi:type="dcterms:W3CDTF">2018-11-01T14:21:00Z</dcterms:modified>
</cp:coreProperties>
</file>